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43A9" w14:textId="77777777" w:rsidR="005A2FA5" w:rsidRPr="00334906" w:rsidRDefault="005A2FA5" w:rsidP="005A2FA5">
      <w:pPr>
        <w:jc w:val="center"/>
        <w:rPr>
          <w:b/>
          <w:sz w:val="24"/>
          <w:szCs w:val="24"/>
        </w:rPr>
      </w:pPr>
      <w:bookmarkStart w:id="0" w:name="_gjdgxs" w:colFirst="0" w:colLast="0"/>
      <w:bookmarkEnd w:id="0"/>
      <w:r w:rsidRPr="00334906">
        <w:rPr>
          <w:b/>
          <w:sz w:val="24"/>
          <w:szCs w:val="24"/>
        </w:rPr>
        <w:t>IN THE DISTRICT COURT OF OKLAHOMA COUNTY</w:t>
      </w:r>
    </w:p>
    <w:p w14:paraId="45DA6BF5" w14:textId="77777777" w:rsidR="005A2FA5" w:rsidRPr="00334906" w:rsidRDefault="005A2FA5" w:rsidP="005A2FA5">
      <w:pPr>
        <w:jc w:val="center"/>
        <w:rPr>
          <w:sz w:val="24"/>
          <w:szCs w:val="24"/>
        </w:rPr>
      </w:pPr>
      <w:r w:rsidRPr="00334906">
        <w:rPr>
          <w:b/>
          <w:sz w:val="24"/>
          <w:szCs w:val="24"/>
        </w:rPr>
        <w:t>STATE OF OKLAHOMA</w:t>
      </w:r>
    </w:p>
    <w:p w14:paraId="676C6D5E" w14:textId="77777777" w:rsidR="005A2FA5" w:rsidRPr="00334906" w:rsidRDefault="005A2FA5" w:rsidP="005A2FA5">
      <w:pPr>
        <w:rPr>
          <w:sz w:val="24"/>
          <w:szCs w:val="24"/>
        </w:rPr>
      </w:pPr>
    </w:p>
    <w:p w14:paraId="2A734144" w14:textId="05F8E834" w:rsidR="005A2FA5" w:rsidRPr="00334906" w:rsidRDefault="008F525A" w:rsidP="005A2FA5">
      <w:p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JOHN DOE</w:t>
      </w:r>
      <w:r w:rsidR="005A2FA5" w:rsidRPr="00334906">
        <w:rPr>
          <w:sz w:val="24"/>
          <w:szCs w:val="24"/>
        </w:rPr>
        <w:t>,</w:t>
      </w:r>
      <w:r>
        <w:rPr>
          <w:sz w:val="24"/>
          <w:szCs w:val="24"/>
        </w:rPr>
        <w:tab/>
      </w:r>
      <w:r w:rsidR="005A2FA5" w:rsidRPr="00334906">
        <w:rPr>
          <w:sz w:val="24"/>
          <w:szCs w:val="24"/>
        </w:rPr>
        <w:tab/>
      </w:r>
      <w:r w:rsidR="005A2FA5" w:rsidRPr="00334906">
        <w:rPr>
          <w:sz w:val="24"/>
          <w:szCs w:val="24"/>
        </w:rPr>
        <w:tab/>
      </w:r>
      <w:r w:rsidR="005A2FA5" w:rsidRPr="00334906">
        <w:rPr>
          <w:sz w:val="24"/>
          <w:szCs w:val="24"/>
        </w:rPr>
        <w:tab/>
        <w:t xml:space="preserve">               </w:t>
      </w:r>
      <w:proofErr w:type="gramStart"/>
      <w:r w:rsidR="005A2FA5" w:rsidRPr="00334906">
        <w:rPr>
          <w:sz w:val="24"/>
          <w:szCs w:val="24"/>
        </w:rPr>
        <w:t xml:space="preserve">  )</w:t>
      </w:r>
      <w:proofErr w:type="gramEnd"/>
    </w:p>
    <w:p w14:paraId="0B9F2F14" w14:textId="79F4411F" w:rsidR="005A2FA5" w:rsidRPr="00334906" w:rsidRDefault="005A2FA5" w:rsidP="005A2FA5">
      <w:pPr>
        <w:tabs>
          <w:tab w:val="left" w:pos="720"/>
          <w:tab w:val="left" w:pos="1440"/>
          <w:tab w:val="left" w:pos="2160"/>
          <w:tab w:val="left" w:pos="2880"/>
          <w:tab w:val="left" w:pos="3600"/>
          <w:tab w:val="left" w:pos="4320"/>
          <w:tab w:val="left" w:pos="5040"/>
        </w:tabs>
        <w:ind w:left="5040" w:hanging="5040"/>
        <w:jc w:val="both"/>
        <w:rPr>
          <w:sz w:val="24"/>
          <w:szCs w:val="24"/>
        </w:rPr>
      </w:pPr>
      <w:r w:rsidRPr="00334906">
        <w:rPr>
          <w:sz w:val="24"/>
          <w:szCs w:val="24"/>
        </w:rPr>
        <w:tab/>
      </w:r>
      <w:r w:rsidRPr="00334906">
        <w:rPr>
          <w:sz w:val="24"/>
          <w:szCs w:val="24"/>
        </w:rPr>
        <w:tab/>
      </w:r>
      <w:r w:rsidRPr="00334906">
        <w:rPr>
          <w:sz w:val="24"/>
          <w:szCs w:val="24"/>
        </w:rPr>
        <w:tab/>
        <w:t xml:space="preserve">Plaintiff, </w:t>
      </w:r>
      <w:r w:rsidRPr="00334906">
        <w:rPr>
          <w:sz w:val="24"/>
          <w:szCs w:val="24"/>
        </w:rPr>
        <w:tab/>
      </w:r>
      <w:r w:rsidRPr="00334906">
        <w:rPr>
          <w:sz w:val="24"/>
          <w:szCs w:val="24"/>
        </w:rPr>
        <w:tab/>
        <w:t xml:space="preserve">   </w:t>
      </w:r>
      <w:proofErr w:type="gramStart"/>
      <w:r w:rsidRPr="00334906">
        <w:rPr>
          <w:sz w:val="24"/>
          <w:szCs w:val="24"/>
        </w:rPr>
        <w:t xml:space="preserve">  )</w:t>
      </w:r>
      <w:proofErr w:type="gramEnd"/>
    </w:p>
    <w:p w14:paraId="74DDD420" w14:textId="6720C228" w:rsidR="005A2FA5" w:rsidRPr="00334906" w:rsidRDefault="005A2FA5" w:rsidP="005A2FA5">
      <w:pPr>
        <w:tabs>
          <w:tab w:val="left" w:pos="720"/>
          <w:tab w:val="left" w:pos="1440"/>
          <w:tab w:val="left" w:pos="2160"/>
          <w:tab w:val="left" w:pos="2880"/>
          <w:tab w:val="left" w:pos="3600"/>
          <w:tab w:val="left" w:pos="4320"/>
          <w:tab w:val="left" w:pos="5040"/>
        </w:tabs>
        <w:ind w:left="5040" w:hanging="5040"/>
        <w:jc w:val="both"/>
        <w:rPr>
          <w:sz w:val="24"/>
          <w:szCs w:val="24"/>
        </w:rPr>
      </w:pPr>
      <w:r w:rsidRPr="00334906">
        <w:rPr>
          <w:sz w:val="24"/>
          <w:szCs w:val="24"/>
        </w:rPr>
        <w:t xml:space="preserve">v. </w:t>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 xml:space="preserve">   </w:t>
      </w:r>
      <w:proofErr w:type="gramStart"/>
      <w:r w:rsidRPr="00334906">
        <w:rPr>
          <w:sz w:val="24"/>
          <w:szCs w:val="24"/>
        </w:rPr>
        <w:t xml:space="preserve">  )</w:t>
      </w:r>
      <w:proofErr w:type="gramEnd"/>
      <w:r w:rsidRPr="00334906">
        <w:rPr>
          <w:sz w:val="24"/>
          <w:szCs w:val="24"/>
        </w:rPr>
        <w:tab/>
        <w:t>Case No. CJ-2017-</w:t>
      </w:r>
      <w:r w:rsidR="008F525A">
        <w:rPr>
          <w:sz w:val="24"/>
          <w:szCs w:val="24"/>
        </w:rPr>
        <w:t>4444</w:t>
      </w:r>
    </w:p>
    <w:p w14:paraId="7D1FC2DC" w14:textId="77777777" w:rsidR="005A2FA5" w:rsidRPr="00334906" w:rsidRDefault="005A2FA5" w:rsidP="005A2FA5">
      <w:pPr>
        <w:tabs>
          <w:tab w:val="left" w:pos="720"/>
          <w:tab w:val="left" w:pos="1440"/>
          <w:tab w:val="left" w:pos="2160"/>
          <w:tab w:val="left" w:pos="2880"/>
          <w:tab w:val="left" w:pos="3600"/>
          <w:tab w:val="left" w:pos="4320"/>
          <w:tab w:val="left" w:pos="5040"/>
        </w:tabs>
        <w:ind w:left="5040" w:hanging="5040"/>
        <w:jc w:val="both"/>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 xml:space="preserve">     )</w:t>
      </w:r>
    </w:p>
    <w:p w14:paraId="46838036" w14:textId="7C72991B" w:rsidR="005A2FA5" w:rsidRPr="00334906" w:rsidRDefault="008F525A" w:rsidP="005A2FA5">
      <w:pPr>
        <w:tabs>
          <w:tab w:val="left" w:pos="720"/>
          <w:tab w:val="left" w:pos="1440"/>
          <w:tab w:val="left" w:pos="2160"/>
          <w:tab w:val="left" w:pos="2880"/>
          <w:tab w:val="left" w:pos="3600"/>
          <w:tab w:val="left" w:pos="4320"/>
          <w:tab w:val="left" w:pos="5040"/>
        </w:tabs>
        <w:jc w:val="both"/>
        <w:rPr>
          <w:sz w:val="24"/>
          <w:szCs w:val="24"/>
        </w:rPr>
      </w:pPr>
      <w:r>
        <w:rPr>
          <w:sz w:val="24"/>
          <w:szCs w:val="24"/>
        </w:rPr>
        <w:t>JANE DOE</w:t>
      </w:r>
      <w:r w:rsidR="005A2FA5" w:rsidRPr="00334906">
        <w:rPr>
          <w:sz w:val="24"/>
          <w:szCs w:val="24"/>
        </w:rPr>
        <w:t>,</w:t>
      </w:r>
      <w:r>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t xml:space="preserve">   </w:t>
      </w:r>
      <w:proofErr w:type="gramStart"/>
      <w:r w:rsidR="005A2FA5" w:rsidRPr="00334906">
        <w:rPr>
          <w:sz w:val="24"/>
          <w:szCs w:val="24"/>
        </w:rPr>
        <w:t xml:space="preserve">  )</w:t>
      </w:r>
      <w:proofErr w:type="gramEnd"/>
    </w:p>
    <w:p w14:paraId="3DDA6F0F" w14:textId="77777777" w:rsidR="005A2FA5" w:rsidRPr="00334906" w:rsidRDefault="005A2FA5" w:rsidP="005A2FA5">
      <w:pPr>
        <w:tabs>
          <w:tab w:val="left" w:pos="720"/>
          <w:tab w:val="left" w:pos="1440"/>
          <w:tab w:val="left" w:pos="2160"/>
          <w:tab w:val="left" w:pos="2880"/>
          <w:tab w:val="left" w:pos="3600"/>
          <w:tab w:val="left" w:pos="4320"/>
          <w:tab w:val="left" w:pos="5040"/>
        </w:tabs>
        <w:ind w:left="5040" w:hanging="5040"/>
        <w:jc w:val="both"/>
        <w:rPr>
          <w:sz w:val="24"/>
          <w:szCs w:val="24"/>
        </w:rPr>
      </w:pPr>
      <w:r w:rsidRPr="00334906">
        <w:rPr>
          <w:sz w:val="24"/>
          <w:szCs w:val="24"/>
        </w:rPr>
        <w:tab/>
      </w:r>
      <w:r w:rsidRPr="00334906">
        <w:rPr>
          <w:sz w:val="24"/>
          <w:szCs w:val="24"/>
        </w:rPr>
        <w:tab/>
      </w:r>
      <w:r w:rsidRPr="00334906">
        <w:rPr>
          <w:sz w:val="24"/>
          <w:szCs w:val="24"/>
        </w:rPr>
        <w:tab/>
        <w:t>Defendant.</w:t>
      </w:r>
      <w:r w:rsidRPr="00334906">
        <w:rPr>
          <w:sz w:val="24"/>
          <w:szCs w:val="24"/>
        </w:rPr>
        <w:tab/>
      </w:r>
      <w:r w:rsidRPr="00334906">
        <w:rPr>
          <w:sz w:val="24"/>
          <w:szCs w:val="24"/>
        </w:rPr>
        <w:tab/>
        <w:t xml:space="preserve">   </w:t>
      </w:r>
      <w:proofErr w:type="gramStart"/>
      <w:r w:rsidRPr="00334906">
        <w:rPr>
          <w:sz w:val="24"/>
          <w:szCs w:val="24"/>
        </w:rPr>
        <w:t xml:space="preserve">  )</w:t>
      </w:r>
      <w:proofErr w:type="gramEnd"/>
    </w:p>
    <w:p w14:paraId="7FE36B50" w14:textId="77777777" w:rsidR="005A2FA5" w:rsidRPr="00334906" w:rsidRDefault="005A2FA5" w:rsidP="005A2FA5">
      <w:pPr>
        <w:rPr>
          <w:sz w:val="24"/>
          <w:szCs w:val="24"/>
        </w:rPr>
      </w:pPr>
    </w:p>
    <w:p w14:paraId="5298C63C" w14:textId="0348C99B" w:rsidR="005A2FA5" w:rsidRPr="00334906" w:rsidRDefault="00080438" w:rsidP="005A2FA5">
      <w:pPr>
        <w:jc w:val="center"/>
        <w:rPr>
          <w:b/>
          <w:sz w:val="24"/>
          <w:szCs w:val="24"/>
          <w:u w:val="single"/>
        </w:rPr>
      </w:pPr>
      <w:r w:rsidRPr="00334906">
        <w:rPr>
          <w:b/>
          <w:sz w:val="24"/>
          <w:szCs w:val="24"/>
          <w:u w:val="single"/>
        </w:rPr>
        <w:t>MOTION TO COMPEL</w:t>
      </w:r>
    </w:p>
    <w:p w14:paraId="49F9D479" w14:textId="77777777" w:rsidR="005A2FA5" w:rsidRPr="00334906" w:rsidRDefault="005A2FA5" w:rsidP="005A2FA5">
      <w:pPr>
        <w:jc w:val="center"/>
        <w:rPr>
          <w:b/>
          <w:sz w:val="24"/>
          <w:szCs w:val="24"/>
          <w:u w:val="single"/>
        </w:rPr>
      </w:pPr>
    </w:p>
    <w:p w14:paraId="3FECF735" w14:textId="504BB45E" w:rsidR="005A2FA5" w:rsidRDefault="00B0314A" w:rsidP="00B0314A">
      <w:pPr>
        <w:jc w:val="center"/>
        <w:rPr>
          <w:sz w:val="24"/>
          <w:szCs w:val="24"/>
        </w:rPr>
      </w:pPr>
      <w:r>
        <w:rPr>
          <w:b/>
          <w:sz w:val="24"/>
          <w:szCs w:val="24"/>
        </w:rPr>
        <w:t>MOTION</w:t>
      </w:r>
    </w:p>
    <w:p w14:paraId="5917966F" w14:textId="77777777" w:rsidR="00805A43" w:rsidRDefault="00805A43" w:rsidP="005A2FA5">
      <w:pPr>
        <w:rPr>
          <w:sz w:val="24"/>
          <w:szCs w:val="24"/>
        </w:rPr>
      </w:pPr>
    </w:p>
    <w:p w14:paraId="146DCA6A" w14:textId="30B62599" w:rsidR="00805A43" w:rsidRDefault="00805A43" w:rsidP="00B0314A">
      <w:pPr>
        <w:spacing w:line="480" w:lineRule="auto"/>
        <w:ind w:firstLine="720"/>
        <w:rPr>
          <w:sz w:val="24"/>
          <w:szCs w:val="24"/>
        </w:rPr>
      </w:pPr>
      <w:r>
        <w:rPr>
          <w:sz w:val="24"/>
          <w:szCs w:val="24"/>
        </w:rPr>
        <w:t>Plaintiff moves the Court for an order compelling Defendant</w:t>
      </w:r>
      <w:r w:rsidR="00B0314A">
        <w:rPr>
          <w:sz w:val="24"/>
          <w:szCs w:val="24"/>
        </w:rPr>
        <w:t xml:space="preserve"> to produce </w:t>
      </w:r>
      <w:r w:rsidR="009476C9">
        <w:rPr>
          <w:sz w:val="24"/>
          <w:szCs w:val="24"/>
        </w:rPr>
        <w:t xml:space="preserve">all </w:t>
      </w:r>
      <w:r w:rsidR="00B0314A">
        <w:rPr>
          <w:sz w:val="24"/>
          <w:szCs w:val="24"/>
        </w:rPr>
        <w:t>tape-recorded conversations between Defendant’s insurance company</w:t>
      </w:r>
      <w:r w:rsidR="008A0AA1">
        <w:rPr>
          <w:sz w:val="24"/>
          <w:szCs w:val="24"/>
        </w:rPr>
        <w:t xml:space="preserve"> (</w:t>
      </w:r>
      <w:r w:rsidR="00B0314A">
        <w:rPr>
          <w:sz w:val="24"/>
          <w:szCs w:val="24"/>
        </w:rPr>
        <w:t>Geico</w:t>
      </w:r>
      <w:r w:rsidR="008A0AA1">
        <w:rPr>
          <w:sz w:val="24"/>
          <w:szCs w:val="24"/>
        </w:rPr>
        <w:t>)</w:t>
      </w:r>
      <w:r w:rsidR="00B0314A">
        <w:rPr>
          <w:sz w:val="24"/>
          <w:szCs w:val="24"/>
        </w:rPr>
        <w:t xml:space="preserve"> and Plaintiff</w:t>
      </w:r>
      <w:r w:rsidR="00EC31F4">
        <w:rPr>
          <w:sz w:val="24"/>
          <w:szCs w:val="24"/>
        </w:rPr>
        <w:t xml:space="preserve"> himself.</w:t>
      </w:r>
    </w:p>
    <w:p w14:paraId="47D4A6F2" w14:textId="79A394F8" w:rsidR="00EC31F4" w:rsidRDefault="00EC31F4" w:rsidP="0059286A">
      <w:pPr>
        <w:spacing w:line="480" w:lineRule="auto"/>
        <w:jc w:val="center"/>
        <w:rPr>
          <w:b/>
          <w:sz w:val="24"/>
          <w:szCs w:val="24"/>
        </w:rPr>
      </w:pPr>
      <w:r>
        <w:rPr>
          <w:b/>
          <w:sz w:val="24"/>
          <w:szCs w:val="24"/>
        </w:rPr>
        <w:t>BRIEF</w:t>
      </w:r>
    </w:p>
    <w:p w14:paraId="4BEED921" w14:textId="6878A60B" w:rsidR="0059286A" w:rsidRDefault="00EC31F4" w:rsidP="0059286A">
      <w:pPr>
        <w:spacing w:line="480" w:lineRule="auto"/>
        <w:jc w:val="center"/>
        <w:rPr>
          <w:b/>
          <w:sz w:val="24"/>
          <w:szCs w:val="24"/>
        </w:rPr>
      </w:pPr>
      <w:r>
        <w:rPr>
          <w:b/>
          <w:sz w:val="24"/>
          <w:szCs w:val="24"/>
        </w:rPr>
        <w:t xml:space="preserve">I. </w:t>
      </w:r>
      <w:r w:rsidR="0059286A">
        <w:rPr>
          <w:b/>
          <w:sz w:val="24"/>
          <w:szCs w:val="24"/>
        </w:rPr>
        <w:t>Introduction with Pertinent Facts</w:t>
      </w:r>
    </w:p>
    <w:p w14:paraId="40BC2A7A" w14:textId="51828F13" w:rsidR="00EF573B" w:rsidRDefault="00FC5064" w:rsidP="005C2701">
      <w:pPr>
        <w:spacing w:line="480" w:lineRule="auto"/>
        <w:ind w:firstLine="720"/>
        <w:rPr>
          <w:sz w:val="24"/>
          <w:szCs w:val="24"/>
        </w:rPr>
      </w:pPr>
      <w:r>
        <w:rPr>
          <w:sz w:val="24"/>
          <w:szCs w:val="24"/>
        </w:rPr>
        <w:t xml:space="preserve">The MVA which precipitated this lawsuit was a clear liability rear-end collision. Mr. </w:t>
      </w:r>
      <w:r w:rsidR="008F525A">
        <w:rPr>
          <w:sz w:val="24"/>
          <w:szCs w:val="24"/>
        </w:rPr>
        <w:t>Doe</w:t>
      </w:r>
      <w:r>
        <w:rPr>
          <w:sz w:val="24"/>
          <w:szCs w:val="24"/>
        </w:rPr>
        <w:t xml:space="preserve"> felt fine at the scene, but within a few hours was in severe pain</w:t>
      </w:r>
      <w:r w:rsidR="000861FB">
        <w:rPr>
          <w:sz w:val="24"/>
          <w:szCs w:val="24"/>
        </w:rPr>
        <w:t xml:space="preserve"> and his fingers were numb and </w:t>
      </w:r>
      <w:r w:rsidR="009F1EAD">
        <w:rPr>
          <w:sz w:val="24"/>
          <w:szCs w:val="24"/>
        </w:rPr>
        <w:t>burning</w:t>
      </w:r>
      <w:r>
        <w:rPr>
          <w:sz w:val="24"/>
          <w:szCs w:val="24"/>
        </w:rPr>
        <w:t xml:space="preserve">. He went to Mercy ER where he was told </w:t>
      </w:r>
      <w:r w:rsidR="00C87C4E">
        <w:rPr>
          <w:sz w:val="24"/>
          <w:szCs w:val="24"/>
        </w:rPr>
        <w:t>he had symptoms of nerve pain and needed further treatment and testing.</w:t>
      </w:r>
      <w:r w:rsidR="009F1EAD">
        <w:rPr>
          <w:sz w:val="24"/>
          <w:szCs w:val="24"/>
        </w:rPr>
        <w:t xml:space="preserve"> </w:t>
      </w:r>
    </w:p>
    <w:p w14:paraId="72233E3E" w14:textId="3685C989" w:rsidR="009476C9" w:rsidRDefault="00EF573B" w:rsidP="005C2701">
      <w:pPr>
        <w:spacing w:line="480" w:lineRule="auto"/>
        <w:ind w:firstLine="720"/>
        <w:rPr>
          <w:sz w:val="24"/>
          <w:szCs w:val="24"/>
        </w:rPr>
      </w:pPr>
      <w:r>
        <w:rPr>
          <w:sz w:val="24"/>
          <w:szCs w:val="24"/>
        </w:rPr>
        <w:t xml:space="preserve">Before he could get the follow-up treatment, </w:t>
      </w:r>
      <w:r w:rsidR="009F1EAD">
        <w:rPr>
          <w:sz w:val="24"/>
          <w:szCs w:val="24"/>
        </w:rPr>
        <w:t xml:space="preserve">Mr. </w:t>
      </w:r>
      <w:r w:rsidR="008F525A">
        <w:rPr>
          <w:sz w:val="24"/>
          <w:szCs w:val="24"/>
        </w:rPr>
        <w:t>Doe</w:t>
      </w:r>
      <w:r w:rsidR="009F1EAD">
        <w:rPr>
          <w:sz w:val="24"/>
          <w:szCs w:val="24"/>
        </w:rPr>
        <w:t xml:space="preserve"> wa</w:t>
      </w:r>
      <w:r>
        <w:rPr>
          <w:sz w:val="24"/>
          <w:szCs w:val="24"/>
        </w:rPr>
        <w:t xml:space="preserve">s </w:t>
      </w:r>
      <w:r w:rsidR="009F1EAD">
        <w:rPr>
          <w:sz w:val="24"/>
          <w:szCs w:val="24"/>
        </w:rPr>
        <w:t xml:space="preserve">contacted </w:t>
      </w:r>
      <w:r w:rsidR="005C2701">
        <w:rPr>
          <w:sz w:val="24"/>
          <w:szCs w:val="24"/>
        </w:rPr>
        <w:t>by a Geico adjuster.</w:t>
      </w:r>
      <w:r>
        <w:rPr>
          <w:sz w:val="24"/>
          <w:szCs w:val="24"/>
        </w:rPr>
        <w:t xml:space="preserve"> Over the course of several conversations, the Geico adjuster told Mr. </w:t>
      </w:r>
      <w:r w:rsidR="008F525A">
        <w:rPr>
          <w:sz w:val="24"/>
          <w:szCs w:val="24"/>
        </w:rPr>
        <w:t>Doe</w:t>
      </w:r>
      <w:r>
        <w:rPr>
          <w:sz w:val="24"/>
          <w:szCs w:val="24"/>
        </w:rPr>
        <w:t xml:space="preserve"> that he should not get the recommended treatment because</w:t>
      </w:r>
      <w:r w:rsidR="002535F0">
        <w:rPr>
          <w:sz w:val="24"/>
          <w:szCs w:val="24"/>
        </w:rPr>
        <w:t xml:space="preserve">: (1) the collision impact was too low for him, or anyone, to have possibly been hurt; (2) Geico would never pay a dime for his injury claim (true so far); </w:t>
      </w:r>
      <w:r w:rsidR="00EC03BD">
        <w:rPr>
          <w:i/>
          <w:sz w:val="24"/>
          <w:szCs w:val="24"/>
        </w:rPr>
        <w:t xml:space="preserve">Mr. </w:t>
      </w:r>
      <w:r w:rsidR="008F525A">
        <w:rPr>
          <w:i/>
          <w:sz w:val="24"/>
          <w:szCs w:val="24"/>
        </w:rPr>
        <w:t>Doe</w:t>
      </w:r>
      <w:r w:rsidR="00EC03BD">
        <w:rPr>
          <w:i/>
          <w:sz w:val="24"/>
          <w:szCs w:val="24"/>
        </w:rPr>
        <w:t xml:space="preserve">’s health insurance would not pay his medical bills because they were from an MVA </w:t>
      </w:r>
      <w:r w:rsidR="00EC03BD">
        <w:rPr>
          <w:sz w:val="24"/>
          <w:szCs w:val="24"/>
        </w:rPr>
        <w:t xml:space="preserve">(a fabrication); and, (3) Mr. </w:t>
      </w:r>
      <w:r w:rsidR="008F525A">
        <w:rPr>
          <w:sz w:val="24"/>
          <w:szCs w:val="24"/>
        </w:rPr>
        <w:t>Doe</w:t>
      </w:r>
      <w:r w:rsidR="00EC03BD">
        <w:rPr>
          <w:sz w:val="24"/>
          <w:szCs w:val="24"/>
        </w:rPr>
        <w:t xml:space="preserve"> would never find an attorney </w:t>
      </w:r>
      <w:r w:rsidR="001D3822">
        <w:rPr>
          <w:sz w:val="24"/>
          <w:szCs w:val="24"/>
        </w:rPr>
        <w:t>who would</w:t>
      </w:r>
      <w:r w:rsidR="00EC03BD">
        <w:rPr>
          <w:sz w:val="24"/>
          <w:szCs w:val="24"/>
        </w:rPr>
        <w:t xml:space="preserve"> to handle such a </w:t>
      </w:r>
      <w:r w:rsidR="00A2159B">
        <w:rPr>
          <w:sz w:val="24"/>
          <w:szCs w:val="24"/>
        </w:rPr>
        <w:t xml:space="preserve">case </w:t>
      </w:r>
      <w:r w:rsidR="00A2159B">
        <w:rPr>
          <w:sz w:val="24"/>
          <w:szCs w:val="24"/>
        </w:rPr>
        <w:lastRenderedPageBreak/>
        <w:t>(a</w:t>
      </w:r>
      <w:r w:rsidR="001D3822">
        <w:rPr>
          <w:sz w:val="24"/>
          <w:szCs w:val="24"/>
        </w:rPr>
        <w:t>lso false</w:t>
      </w:r>
      <w:r w:rsidR="00A2159B">
        <w:rPr>
          <w:sz w:val="24"/>
          <w:szCs w:val="24"/>
        </w:rPr>
        <w:t>)</w:t>
      </w:r>
      <w:r w:rsidR="00B4743A">
        <w:rPr>
          <w:sz w:val="24"/>
          <w:szCs w:val="24"/>
        </w:rPr>
        <w:t xml:space="preserve">(Ex. 1, Affidavit of </w:t>
      </w:r>
      <w:r w:rsidR="008F525A">
        <w:rPr>
          <w:sz w:val="24"/>
          <w:szCs w:val="24"/>
        </w:rPr>
        <w:t>John</w:t>
      </w:r>
      <w:r w:rsidR="00B4743A">
        <w:rPr>
          <w:sz w:val="24"/>
          <w:szCs w:val="24"/>
        </w:rPr>
        <w:t xml:space="preserve"> </w:t>
      </w:r>
      <w:r w:rsidR="008F525A">
        <w:rPr>
          <w:sz w:val="24"/>
          <w:szCs w:val="24"/>
        </w:rPr>
        <w:t>Doe</w:t>
      </w:r>
      <w:r w:rsidR="00B4743A">
        <w:rPr>
          <w:sz w:val="24"/>
          <w:szCs w:val="24"/>
        </w:rPr>
        <w:t xml:space="preserve">). </w:t>
      </w:r>
      <w:r w:rsidR="00AF04F2">
        <w:rPr>
          <w:sz w:val="24"/>
          <w:szCs w:val="24"/>
        </w:rPr>
        <w:t>Afraid</w:t>
      </w:r>
      <w:r w:rsidR="001D3822">
        <w:rPr>
          <w:sz w:val="24"/>
          <w:szCs w:val="24"/>
        </w:rPr>
        <w:t xml:space="preserve"> </w:t>
      </w:r>
      <w:r w:rsidR="00CD35F6">
        <w:rPr>
          <w:sz w:val="24"/>
          <w:szCs w:val="24"/>
        </w:rPr>
        <w:t xml:space="preserve">to incur a big medical bill, Mr. </w:t>
      </w:r>
      <w:r w:rsidR="008F525A">
        <w:rPr>
          <w:sz w:val="24"/>
          <w:szCs w:val="24"/>
        </w:rPr>
        <w:t>Doe</w:t>
      </w:r>
      <w:r w:rsidR="00CD35F6">
        <w:rPr>
          <w:sz w:val="24"/>
          <w:szCs w:val="24"/>
        </w:rPr>
        <w:t xml:space="preserve"> delayed </w:t>
      </w:r>
      <w:r w:rsidR="009476C9">
        <w:rPr>
          <w:sz w:val="24"/>
          <w:szCs w:val="24"/>
        </w:rPr>
        <w:t xml:space="preserve">getting </w:t>
      </w:r>
      <w:r w:rsidR="00CD35F6">
        <w:rPr>
          <w:sz w:val="24"/>
          <w:szCs w:val="24"/>
        </w:rPr>
        <w:t xml:space="preserve">the recommended treatment. </w:t>
      </w:r>
    </w:p>
    <w:p w14:paraId="15D4BE69" w14:textId="07D4114D" w:rsidR="003A2C75" w:rsidRDefault="003A2C75" w:rsidP="003E5742">
      <w:pPr>
        <w:spacing w:line="480" w:lineRule="auto"/>
        <w:ind w:firstLine="720"/>
        <w:rPr>
          <w:sz w:val="24"/>
          <w:szCs w:val="24"/>
        </w:rPr>
      </w:pPr>
      <w:r>
        <w:rPr>
          <w:sz w:val="24"/>
          <w:szCs w:val="24"/>
        </w:rPr>
        <w:t>In discovery, Plaintiff’s requested</w:t>
      </w:r>
      <w:r w:rsidR="003E5742">
        <w:rPr>
          <w:sz w:val="24"/>
          <w:szCs w:val="24"/>
        </w:rPr>
        <w:t xml:space="preserve"> the following, seeking, in part these conversations</w:t>
      </w:r>
      <w:r>
        <w:rPr>
          <w:sz w:val="24"/>
          <w:szCs w:val="24"/>
        </w:rPr>
        <w:t xml:space="preserve">: </w:t>
      </w:r>
    </w:p>
    <w:p w14:paraId="76575B4E" w14:textId="576F2A36" w:rsidR="00CB53D1" w:rsidRPr="00CB53D1" w:rsidRDefault="00CB53D1" w:rsidP="00CB53D1">
      <w:pPr>
        <w:ind w:left="720"/>
        <w:jc w:val="both"/>
        <w:rPr>
          <w:b/>
          <w:sz w:val="24"/>
          <w:szCs w:val="24"/>
        </w:rPr>
      </w:pPr>
      <w:r w:rsidRPr="00CB53D1">
        <w:rPr>
          <w:b/>
          <w:sz w:val="24"/>
          <w:szCs w:val="24"/>
          <w:u w:val="single"/>
        </w:rPr>
        <w:t>REQUEST FOR PRODUCTION NO.9</w:t>
      </w:r>
      <w:r w:rsidRPr="00CB53D1">
        <w:rPr>
          <w:b/>
          <w:sz w:val="24"/>
          <w:szCs w:val="24"/>
        </w:rPr>
        <w:t>:</w:t>
      </w:r>
      <w:r w:rsidRPr="00CB53D1">
        <w:rPr>
          <w:b/>
          <w:sz w:val="24"/>
          <w:szCs w:val="24"/>
        </w:rPr>
        <w:tab/>
        <w:t xml:space="preserve">Produce copies of all recorded conversations between your insurance </w:t>
      </w:r>
      <w:r w:rsidR="008F525A">
        <w:rPr>
          <w:b/>
          <w:sz w:val="24"/>
          <w:szCs w:val="24"/>
        </w:rPr>
        <w:t>carrier</w:t>
      </w:r>
      <w:r w:rsidRPr="00CB53D1">
        <w:rPr>
          <w:b/>
          <w:sz w:val="24"/>
          <w:szCs w:val="24"/>
        </w:rPr>
        <w:t xml:space="preserve">, Geico, and Mr. </w:t>
      </w:r>
      <w:r w:rsidR="008F525A">
        <w:rPr>
          <w:b/>
          <w:sz w:val="24"/>
          <w:szCs w:val="24"/>
        </w:rPr>
        <w:t>Doe</w:t>
      </w:r>
      <w:r w:rsidRPr="00CB53D1">
        <w:rPr>
          <w:b/>
          <w:sz w:val="24"/>
          <w:szCs w:val="24"/>
        </w:rPr>
        <w:t>.</w:t>
      </w:r>
    </w:p>
    <w:p w14:paraId="4895D3C5" w14:textId="77777777" w:rsidR="00CB53D1" w:rsidRPr="00CB53D1" w:rsidRDefault="00CB53D1" w:rsidP="00CB53D1">
      <w:pPr>
        <w:ind w:left="720"/>
        <w:jc w:val="both"/>
      </w:pPr>
    </w:p>
    <w:p w14:paraId="554CD325" w14:textId="4C6B53D8" w:rsidR="003A2C75" w:rsidRDefault="003E5742" w:rsidP="005C2701">
      <w:pPr>
        <w:spacing w:line="480" w:lineRule="auto"/>
        <w:ind w:firstLine="720"/>
        <w:rPr>
          <w:sz w:val="24"/>
          <w:szCs w:val="24"/>
        </w:rPr>
      </w:pPr>
      <w:r>
        <w:rPr>
          <w:sz w:val="24"/>
          <w:szCs w:val="24"/>
        </w:rPr>
        <w:t>Defendant did not produce the conversations, so Plaintiff sent a supplemental request by letter</w:t>
      </w:r>
      <w:r w:rsidR="004A2E41">
        <w:rPr>
          <w:sz w:val="24"/>
          <w:szCs w:val="24"/>
        </w:rPr>
        <w:t xml:space="preserve"> (Ex. </w:t>
      </w:r>
      <w:r w:rsidR="00B4743A">
        <w:rPr>
          <w:sz w:val="24"/>
          <w:szCs w:val="24"/>
        </w:rPr>
        <w:t>2, Letter from Mr. Kouri</w:t>
      </w:r>
      <w:r w:rsidR="004A2E41">
        <w:rPr>
          <w:sz w:val="24"/>
          <w:szCs w:val="24"/>
        </w:rPr>
        <w:t>)</w:t>
      </w:r>
      <w:r>
        <w:rPr>
          <w:sz w:val="24"/>
          <w:szCs w:val="24"/>
        </w:rPr>
        <w:t>:</w:t>
      </w:r>
    </w:p>
    <w:p w14:paraId="51C15C18" w14:textId="0ACBB09D" w:rsidR="00C63CCE" w:rsidRDefault="008F525A" w:rsidP="005C2701">
      <w:pPr>
        <w:spacing w:line="480" w:lineRule="auto"/>
        <w:ind w:firstLine="720"/>
        <w:rPr>
          <w:sz w:val="24"/>
          <w:szCs w:val="24"/>
        </w:rPr>
      </w:pPr>
      <w:r>
        <w:rPr>
          <w:noProof/>
        </w:rPr>
        <w:t>(insert your letter here)</w:t>
      </w:r>
      <w:bookmarkStart w:id="1" w:name="_GoBack"/>
      <w:bookmarkEnd w:id="1"/>
    </w:p>
    <w:p w14:paraId="4E470DA0" w14:textId="56A2E715" w:rsidR="003A2C75" w:rsidRDefault="003A2C75" w:rsidP="005C2701">
      <w:pPr>
        <w:spacing w:line="480" w:lineRule="auto"/>
        <w:ind w:firstLine="720"/>
        <w:rPr>
          <w:sz w:val="24"/>
          <w:szCs w:val="24"/>
        </w:rPr>
      </w:pPr>
      <w:r>
        <w:rPr>
          <w:sz w:val="24"/>
          <w:szCs w:val="24"/>
        </w:rPr>
        <w:t>Defendant refused to provide the conversations, offering the following objections</w:t>
      </w:r>
      <w:r w:rsidR="004A2E41">
        <w:rPr>
          <w:sz w:val="24"/>
          <w:szCs w:val="24"/>
        </w:rPr>
        <w:t xml:space="preserve"> (Ex. </w:t>
      </w:r>
      <w:r w:rsidR="00424A4E">
        <w:rPr>
          <w:sz w:val="24"/>
          <w:szCs w:val="24"/>
        </w:rPr>
        <w:t>3, Letter from Joshua B. Bush</w:t>
      </w:r>
      <w:r w:rsidR="004A2E41">
        <w:rPr>
          <w:sz w:val="24"/>
          <w:szCs w:val="24"/>
        </w:rPr>
        <w:t>)</w:t>
      </w:r>
      <w:r>
        <w:rPr>
          <w:sz w:val="24"/>
          <w:szCs w:val="24"/>
        </w:rPr>
        <w:t>:</w:t>
      </w:r>
    </w:p>
    <w:p w14:paraId="3CB0D337" w14:textId="77777777" w:rsidR="00922F1A" w:rsidRPr="00922F1A" w:rsidRDefault="00922F1A" w:rsidP="00922F1A">
      <w:p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10"/>
        <w:rPr>
          <w:rFonts w:eastAsiaTheme="minorHAnsi"/>
          <w:color w:val="auto"/>
          <w:sz w:val="15"/>
          <w:szCs w:val="15"/>
          <w:lang w:eastAsia="en-US"/>
        </w:rPr>
      </w:pPr>
    </w:p>
    <w:p w14:paraId="66A3C077" w14:textId="77777777" w:rsidR="00922F1A" w:rsidRPr="00922F1A" w:rsidRDefault="00922F1A" w:rsidP="001E03B4">
      <w:p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54" w:line="237" w:lineRule="auto"/>
        <w:ind w:left="720" w:right="186"/>
        <w:jc w:val="both"/>
        <w:rPr>
          <w:rFonts w:eastAsiaTheme="minorHAnsi"/>
          <w:color w:val="282828"/>
          <w:w w:val="105"/>
          <w:sz w:val="23"/>
          <w:szCs w:val="23"/>
          <w:lang w:eastAsia="en-US"/>
        </w:rPr>
      </w:pPr>
      <w:r w:rsidRPr="00922F1A">
        <w:rPr>
          <w:rFonts w:eastAsiaTheme="minorHAnsi"/>
          <w:color w:val="181818"/>
          <w:w w:val="105"/>
          <w:sz w:val="23"/>
          <w:szCs w:val="23"/>
          <w:lang w:eastAsia="en-US"/>
        </w:rPr>
        <w:t xml:space="preserve">I </w:t>
      </w:r>
      <w:r w:rsidRPr="00922F1A">
        <w:rPr>
          <w:rFonts w:eastAsiaTheme="minorHAnsi"/>
          <w:color w:val="282828"/>
          <w:w w:val="105"/>
          <w:sz w:val="23"/>
          <w:szCs w:val="23"/>
          <w:lang w:eastAsia="en-US"/>
        </w:rPr>
        <w:t xml:space="preserve">am </w:t>
      </w:r>
      <w:r w:rsidRPr="00922F1A">
        <w:rPr>
          <w:rFonts w:eastAsiaTheme="minorHAnsi"/>
          <w:color w:val="181818"/>
          <w:w w:val="105"/>
          <w:sz w:val="23"/>
          <w:szCs w:val="23"/>
          <w:lang w:eastAsia="en-US"/>
        </w:rPr>
        <w:t xml:space="preserve">in receipt of your letter dated December </w:t>
      </w:r>
      <w:r w:rsidRPr="00922F1A">
        <w:rPr>
          <w:rFonts w:eastAsiaTheme="minorHAnsi"/>
          <w:color w:val="282828"/>
          <w:w w:val="105"/>
          <w:sz w:val="23"/>
          <w:szCs w:val="23"/>
          <w:lang w:eastAsia="en-US"/>
        </w:rPr>
        <w:t xml:space="preserve">26, 2017, requesting </w:t>
      </w:r>
      <w:r w:rsidRPr="00922F1A">
        <w:rPr>
          <w:rFonts w:eastAsiaTheme="minorHAnsi"/>
          <w:color w:val="181818"/>
          <w:w w:val="105"/>
          <w:sz w:val="23"/>
          <w:szCs w:val="23"/>
          <w:lang w:eastAsia="en-US"/>
        </w:rPr>
        <w:t xml:space="preserve">supplementation of our Response to Request for </w:t>
      </w:r>
      <w:r w:rsidRPr="00922F1A">
        <w:rPr>
          <w:rFonts w:eastAsiaTheme="minorHAnsi"/>
          <w:color w:val="282828"/>
          <w:w w:val="105"/>
          <w:sz w:val="23"/>
          <w:szCs w:val="23"/>
          <w:lang w:eastAsia="en-US"/>
        </w:rPr>
        <w:t xml:space="preserve">Production </w:t>
      </w:r>
      <w:r w:rsidRPr="00922F1A">
        <w:rPr>
          <w:rFonts w:eastAsiaTheme="minorHAnsi"/>
          <w:color w:val="181818"/>
          <w:w w:val="105"/>
          <w:sz w:val="23"/>
          <w:szCs w:val="23"/>
          <w:lang w:eastAsia="en-US"/>
        </w:rPr>
        <w:t xml:space="preserve">No. </w:t>
      </w:r>
      <w:r w:rsidRPr="00922F1A">
        <w:rPr>
          <w:rFonts w:eastAsiaTheme="minorHAnsi"/>
          <w:color w:val="282828"/>
          <w:w w:val="105"/>
          <w:sz w:val="23"/>
          <w:szCs w:val="23"/>
          <w:lang w:eastAsia="en-US"/>
        </w:rPr>
        <w:t>9.</w:t>
      </w:r>
    </w:p>
    <w:p w14:paraId="331B8D1E" w14:textId="77777777" w:rsidR="00922F1A" w:rsidRPr="00922F1A" w:rsidRDefault="00922F1A" w:rsidP="00922F1A">
      <w:p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before="1"/>
        <w:rPr>
          <w:rFonts w:eastAsiaTheme="minorHAnsi"/>
          <w:color w:val="auto"/>
          <w:sz w:val="21"/>
          <w:szCs w:val="21"/>
          <w:lang w:eastAsia="en-US"/>
        </w:rPr>
      </w:pPr>
    </w:p>
    <w:p w14:paraId="56719677" w14:textId="2BE7AC7F" w:rsidR="00922F1A" w:rsidRDefault="00922F1A" w:rsidP="001E03B4">
      <w:p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35" w:lineRule="auto"/>
        <w:ind w:left="720" w:right="114"/>
        <w:jc w:val="both"/>
        <w:rPr>
          <w:rFonts w:eastAsiaTheme="minorHAnsi"/>
          <w:color w:val="181818"/>
          <w:w w:val="105"/>
          <w:sz w:val="23"/>
          <w:szCs w:val="23"/>
          <w:lang w:eastAsia="en-US"/>
        </w:rPr>
      </w:pPr>
      <w:r w:rsidRPr="00922F1A">
        <w:rPr>
          <w:rFonts w:eastAsiaTheme="minorHAnsi"/>
          <w:color w:val="181818"/>
          <w:w w:val="105"/>
          <w:sz w:val="23"/>
          <w:szCs w:val="23"/>
          <w:lang w:eastAsia="en-US"/>
        </w:rPr>
        <w:t xml:space="preserve">Defendant objects to the production of </w:t>
      </w:r>
      <w:r w:rsidRPr="00922F1A">
        <w:rPr>
          <w:rFonts w:eastAsiaTheme="minorHAnsi"/>
          <w:color w:val="282828"/>
          <w:w w:val="105"/>
          <w:sz w:val="23"/>
          <w:szCs w:val="23"/>
          <w:lang w:eastAsia="en-US"/>
        </w:rPr>
        <w:t xml:space="preserve">any internal </w:t>
      </w:r>
      <w:r w:rsidRPr="00922F1A">
        <w:rPr>
          <w:rFonts w:eastAsiaTheme="minorHAnsi"/>
          <w:color w:val="181818"/>
          <w:w w:val="105"/>
          <w:sz w:val="23"/>
          <w:szCs w:val="23"/>
          <w:lang w:eastAsia="en-US"/>
        </w:rPr>
        <w:t xml:space="preserve">recordings of </w:t>
      </w:r>
      <w:r w:rsidRPr="00922F1A">
        <w:rPr>
          <w:rFonts w:eastAsiaTheme="minorHAnsi"/>
          <w:color w:val="282828"/>
          <w:w w:val="105"/>
          <w:sz w:val="23"/>
          <w:szCs w:val="23"/>
          <w:lang w:eastAsia="en-US"/>
        </w:rPr>
        <w:t xml:space="preserve">conversations </w:t>
      </w:r>
      <w:r w:rsidRPr="00922F1A">
        <w:rPr>
          <w:rFonts w:eastAsiaTheme="minorHAnsi"/>
          <w:color w:val="181818"/>
          <w:w w:val="105"/>
          <w:sz w:val="23"/>
          <w:szCs w:val="23"/>
          <w:lang w:eastAsia="en-US"/>
        </w:rPr>
        <w:t>between Mr</w:t>
      </w:r>
      <w:r w:rsidRPr="00922F1A">
        <w:rPr>
          <w:rFonts w:eastAsiaTheme="minorHAnsi"/>
          <w:color w:val="383838"/>
          <w:w w:val="105"/>
          <w:sz w:val="23"/>
          <w:szCs w:val="23"/>
          <w:lang w:eastAsia="en-US"/>
        </w:rPr>
        <w:t xml:space="preserve">. </w:t>
      </w:r>
      <w:r w:rsidR="008F525A">
        <w:rPr>
          <w:rFonts w:eastAsiaTheme="minorHAnsi"/>
          <w:color w:val="181818"/>
          <w:w w:val="105"/>
          <w:sz w:val="23"/>
          <w:szCs w:val="23"/>
          <w:lang w:eastAsia="en-US"/>
        </w:rPr>
        <w:t>Doe</w:t>
      </w:r>
      <w:r w:rsidRPr="00922F1A">
        <w:rPr>
          <w:rFonts w:eastAsiaTheme="minorHAnsi"/>
          <w:color w:val="181818"/>
          <w:w w:val="105"/>
          <w:sz w:val="23"/>
          <w:szCs w:val="23"/>
          <w:lang w:eastAsia="en-US"/>
        </w:rPr>
        <w:t xml:space="preserve"> </w:t>
      </w:r>
      <w:r w:rsidRPr="00922F1A">
        <w:rPr>
          <w:rFonts w:eastAsiaTheme="minorHAnsi"/>
          <w:color w:val="282828"/>
          <w:w w:val="105"/>
          <w:sz w:val="23"/>
          <w:szCs w:val="23"/>
          <w:lang w:eastAsia="en-US"/>
        </w:rPr>
        <w:t xml:space="preserve">and </w:t>
      </w:r>
      <w:r w:rsidRPr="00922F1A">
        <w:rPr>
          <w:rFonts w:eastAsiaTheme="minorHAnsi"/>
          <w:color w:val="181818"/>
          <w:w w:val="105"/>
          <w:sz w:val="23"/>
          <w:szCs w:val="23"/>
          <w:lang w:eastAsia="en-US"/>
        </w:rPr>
        <w:t xml:space="preserve">Tony </w:t>
      </w:r>
      <w:proofErr w:type="spellStart"/>
      <w:r w:rsidRPr="00922F1A">
        <w:rPr>
          <w:rFonts w:eastAsiaTheme="minorHAnsi"/>
          <w:color w:val="181818"/>
          <w:w w:val="105"/>
          <w:sz w:val="23"/>
          <w:szCs w:val="23"/>
          <w:lang w:eastAsia="en-US"/>
        </w:rPr>
        <w:t>Folkmann</w:t>
      </w:r>
      <w:proofErr w:type="spellEnd"/>
      <w:r w:rsidRPr="00922F1A">
        <w:rPr>
          <w:rFonts w:eastAsiaTheme="minorHAnsi"/>
          <w:color w:val="181818"/>
          <w:w w:val="105"/>
          <w:sz w:val="23"/>
          <w:szCs w:val="23"/>
          <w:lang w:eastAsia="en-US"/>
        </w:rPr>
        <w:t xml:space="preserve">, or </w:t>
      </w:r>
      <w:r w:rsidRPr="00922F1A">
        <w:rPr>
          <w:rFonts w:eastAsiaTheme="minorHAnsi"/>
          <w:color w:val="282828"/>
          <w:w w:val="105"/>
          <w:sz w:val="23"/>
          <w:szCs w:val="23"/>
          <w:lang w:eastAsia="en-US"/>
        </w:rPr>
        <w:t xml:space="preserve">any </w:t>
      </w:r>
      <w:r w:rsidRPr="00922F1A">
        <w:rPr>
          <w:rFonts w:eastAsiaTheme="minorHAnsi"/>
          <w:color w:val="181818"/>
          <w:w w:val="105"/>
          <w:sz w:val="23"/>
          <w:szCs w:val="23"/>
          <w:lang w:eastAsia="en-US"/>
        </w:rPr>
        <w:t xml:space="preserve">other GEICO </w:t>
      </w:r>
      <w:r w:rsidRPr="00922F1A">
        <w:rPr>
          <w:rFonts w:eastAsiaTheme="minorHAnsi"/>
          <w:color w:val="282828"/>
          <w:w w:val="105"/>
          <w:sz w:val="23"/>
          <w:szCs w:val="23"/>
          <w:lang w:eastAsia="en-US"/>
        </w:rPr>
        <w:t xml:space="preserve">representative. </w:t>
      </w:r>
      <w:r w:rsidRPr="00922F1A">
        <w:rPr>
          <w:rFonts w:eastAsiaTheme="minorHAnsi"/>
          <w:color w:val="181818"/>
          <w:w w:val="105"/>
          <w:sz w:val="23"/>
          <w:szCs w:val="23"/>
          <w:lang w:eastAsia="en-US"/>
        </w:rPr>
        <w:t xml:space="preserve">This Request is </w:t>
      </w:r>
      <w:proofErr w:type="spellStart"/>
      <w:r w:rsidRPr="00922F1A">
        <w:rPr>
          <w:rFonts w:eastAsiaTheme="minorHAnsi"/>
          <w:color w:val="181818"/>
          <w:w w:val="105"/>
          <w:sz w:val="23"/>
          <w:szCs w:val="23"/>
          <w:lang w:eastAsia="en-US"/>
        </w:rPr>
        <w:t>overlybroad</w:t>
      </w:r>
      <w:proofErr w:type="spellEnd"/>
      <w:r w:rsidRPr="00922F1A">
        <w:rPr>
          <w:rFonts w:eastAsiaTheme="minorHAnsi"/>
          <w:color w:val="181818"/>
          <w:w w:val="105"/>
          <w:sz w:val="23"/>
          <w:szCs w:val="23"/>
          <w:lang w:eastAsia="en-US"/>
        </w:rPr>
        <w:t xml:space="preserve">, </w:t>
      </w:r>
      <w:r w:rsidRPr="00922F1A">
        <w:rPr>
          <w:rFonts w:eastAsiaTheme="minorHAnsi"/>
          <w:color w:val="282828"/>
          <w:w w:val="105"/>
          <w:sz w:val="23"/>
          <w:szCs w:val="23"/>
          <w:lang w:eastAsia="en-US"/>
        </w:rPr>
        <w:t xml:space="preserve">seeks </w:t>
      </w:r>
      <w:r w:rsidRPr="00922F1A">
        <w:rPr>
          <w:rFonts w:eastAsiaTheme="minorHAnsi"/>
          <w:color w:val="181818"/>
          <w:w w:val="105"/>
          <w:sz w:val="23"/>
          <w:szCs w:val="23"/>
          <w:lang w:eastAsia="en-US"/>
        </w:rPr>
        <w:t xml:space="preserve">information that falls within </w:t>
      </w:r>
      <w:r w:rsidRPr="00922F1A">
        <w:rPr>
          <w:rFonts w:eastAsiaTheme="minorHAnsi"/>
          <w:color w:val="282828"/>
          <w:w w:val="105"/>
          <w:sz w:val="23"/>
          <w:szCs w:val="23"/>
          <w:lang w:eastAsia="en-US"/>
        </w:rPr>
        <w:t xml:space="preserve">the work </w:t>
      </w:r>
      <w:r w:rsidRPr="00922F1A">
        <w:rPr>
          <w:rFonts w:eastAsiaTheme="minorHAnsi"/>
          <w:color w:val="181818"/>
          <w:w w:val="105"/>
          <w:sz w:val="23"/>
          <w:szCs w:val="23"/>
          <w:lang w:eastAsia="en-US"/>
        </w:rPr>
        <w:t xml:space="preserve">product doctrine, </w:t>
      </w:r>
      <w:r w:rsidRPr="00922F1A">
        <w:rPr>
          <w:rFonts w:eastAsiaTheme="minorHAnsi"/>
          <w:color w:val="282828"/>
          <w:w w:val="105"/>
          <w:sz w:val="23"/>
          <w:szCs w:val="23"/>
          <w:lang w:eastAsia="en-US"/>
        </w:rPr>
        <w:t xml:space="preserve">and any </w:t>
      </w:r>
      <w:r w:rsidRPr="00922F1A">
        <w:rPr>
          <w:rFonts w:eastAsiaTheme="minorHAnsi"/>
          <w:color w:val="181818"/>
          <w:w w:val="105"/>
          <w:sz w:val="23"/>
          <w:szCs w:val="23"/>
          <w:lang w:eastAsia="en-US"/>
        </w:rPr>
        <w:t xml:space="preserve">conversations held were in </w:t>
      </w:r>
      <w:r w:rsidRPr="00922F1A">
        <w:rPr>
          <w:rFonts w:eastAsiaTheme="minorHAnsi"/>
          <w:color w:val="282828"/>
          <w:w w:val="105"/>
          <w:sz w:val="23"/>
          <w:szCs w:val="23"/>
          <w:lang w:eastAsia="en-US"/>
        </w:rPr>
        <w:t xml:space="preserve">anticipation </w:t>
      </w:r>
      <w:r w:rsidRPr="00922F1A">
        <w:rPr>
          <w:rFonts w:eastAsiaTheme="minorHAnsi"/>
          <w:color w:val="181818"/>
          <w:w w:val="105"/>
          <w:sz w:val="23"/>
          <w:szCs w:val="23"/>
          <w:lang w:eastAsia="en-US"/>
        </w:rPr>
        <w:t>of litigation.</w:t>
      </w:r>
    </w:p>
    <w:p w14:paraId="3A8E7282" w14:textId="77777777" w:rsidR="001E03B4" w:rsidRPr="001E03B4" w:rsidRDefault="001E03B4" w:rsidP="001E03B4">
      <w:pPr>
        <w:pBdr>
          <w:top w:val="none" w:sz="0" w:space="0" w:color="auto"/>
          <w:left w:val="none" w:sz="0" w:space="0" w:color="auto"/>
          <w:bottom w:val="none" w:sz="0" w:space="0" w:color="auto"/>
          <w:right w:val="none" w:sz="0" w:space="0" w:color="auto"/>
          <w:between w:val="none" w:sz="0" w:space="0" w:color="auto"/>
        </w:pBdr>
        <w:kinsoku w:val="0"/>
        <w:overflowPunct w:val="0"/>
        <w:autoSpaceDE w:val="0"/>
        <w:autoSpaceDN w:val="0"/>
        <w:adjustRightInd w:val="0"/>
        <w:spacing w:line="235" w:lineRule="auto"/>
        <w:ind w:left="720" w:right="114"/>
        <w:jc w:val="both"/>
        <w:rPr>
          <w:rFonts w:eastAsiaTheme="minorHAnsi"/>
          <w:color w:val="181818"/>
          <w:w w:val="105"/>
          <w:sz w:val="23"/>
          <w:szCs w:val="23"/>
          <w:lang w:eastAsia="en-US"/>
        </w:rPr>
      </w:pPr>
    </w:p>
    <w:p w14:paraId="05E84D9A" w14:textId="07069D65" w:rsidR="005C2701" w:rsidRDefault="003E5742" w:rsidP="005C2701">
      <w:pPr>
        <w:spacing w:line="480" w:lineRule="auto"/>
        <w:ind w:firstLine="720"/>
        <w:rPr>
          <w:sz w:val="24"/>
          <w:szCs w:val="24"/>
        </w:rPr>
      </w:pPr>
      <w:r>
        <w:rPr>
          <w:sz w:val="24"/>
          <w:szCs w:val="24"/>
        </w:rPr>
        <w:t xml:space="preserve">These conversations are discoverable for at least three reasons: (1) Mr. </w:t>
      </w:r>
      <w:r w:rsidR="008F525A">
        <w:rPr>
          <w:sz w:val="24"/>
          <w:szCs w:val="24"/>
        </w:rPr>
        <w:t>Doe</w:t>
      </w:r>
      <w:r>
        <w:rPr>
          <w:sz w:val="24"/>
          <w:szCs w:val="24"/>
        </w:rPr>
        <w:t xml:space="preserve"> was a party to the conversations</w:t>
      </w:r>
      <w:r w:rsidR="001E03B4">
        <w:rPr>
          <w:sz w:val="24"/>
          <w:szCs w:val="24"/>
        </w:rPr>
        <w:t>, and thus entitled to a copy</w:t>
      </w:r>
      <w:r>
        <w:rPr>
          <w:sz w:val="24"/>
          <w:szCs w:val="24"/>
        </w:rPr>
        <w:t xml:space="preserve">; (2) </w:t>
      </w:r>
      <w:r w:rsidR="001E03B4">
        <w:rPr>
          <w:sz w:val="24"/>
          <w:szCs w:val="24"/>
        </w:rPr>
        <w:t xml:space="preserve">the </w:t>
      </w:r>
      <w:r w:rsidR="007D15DD">
        <w:rPr>
          <w:sz w:val="24"/>
          <w:szCs w:val="24"/>
        </w:rPr>
        <w:t>recordings provide evidence countering a perception</w:t>
      </w:r>
      <w:r w:rsidR="00E1115F">
        <w:rPr>
          <w:sz w:val="24"/>
          <w:szCs w:val="24"/>
        </w:rPr>
        <w:t>,</w:t>
      </w:r>
      <w:r w:rsidR="007D15DD">
        <w:rPr>
          <w:sz w:val="24"/>
          <w:szCs w:val="24"/>
        </w:rPr>
        <w:t xml:space="preserve"> on the part of the jury</w:t>
      </w:r>
      <w:r w:rsidR="00E1115F">
        <w:rPr>
          <w:sz w:val="24"/>
          <w:szCs w:val="24"/>
        </w:rPr>
        <w:t>,</w:t>
      </w:r>
      <w:r w:rsidR="007D15DD">
        <w:rPr>
          <w:sz w:val="24"/>
          <w:szCs w:val="24"/>
        </w:rPr>
        <w:t xml:space="preserve"> of a “treatment gap;” (3) </w:t>
      </w:r>
      <w:r w:rsidR="00E1115F">
        <w:rPr>
          <w:sz w:val="24"/>
          <w:szCs w:val="24"/>
        </w:rPr>
        <w:t xml:space="preserve">the recordings provide evidence pertaining to </w:t>
      </w:r>
      <w:r w:rsidR="00D3757B">
        <w:rPr>
          <w:sz w:val="24"/>
          <w:szCs w:val="24"/>
        </w:rPr>
        <w:t>additional injury caused be a delay in treatment.</w:t>
      </w:r>
    </w:p>
    <w:p w14:paraId="1A8AC11A" w14:textId="1E564E92" w:rsidR="005473DA" w:rsidRDefault="00D3757B" w:rsidP="005C2701">
      <w:pPr>
        <w:spacing w:line="480" w:lineRule="auto"/>
        <w:ind w:firstLine="720"/>
        <w:rPr>
          <w:sz w:val="24"/>
          <w:szCs w:val="24"/>
        </w:rPr>
      </w:pPr>
      <w:r>
        <w:rPr>
          <w:sz w:val="24"/>
          <w:szCs w:val="24"/>
        </w:rPr>
        <w:t xml:space="preserve">As for the offered objections, (1) it is hardly </w:t>
      </w:r>
      <w:r w:rsidR="00575AE7">
        <w:rPr>
          <w:sz w:val="24"/>
          <w:szCs w:val="24"/>
        </w:rPr>
        <w:t>a broad request</w:t>
      </w:r>
      <w:r>
        <w:rPr>
          <w:sz w:val="24"/>
          <w:szCs w:val="24"/>
        </w:rPr>
        <w:t>, let alone</w:t>
      </w:r>
      <w:r w:rsidR="00575AE7">
        <w:rPr>
          <w:sz w:val="24"/>
          <w:szCs w:val="24"/>
        </w:rPr>
        <w:t>,</w:t>
      </w:r>
      <w:r>
        <w:rPr>
          <w:sz w:val="24"/>
          <w:szCs w:val="24"/>
        </w:rPr>
        <w:t xml:space="preserve"> overly so, to ask Geico to provide </w:t>
      </w:r>
      <w:r w:rsidR="00575AE7">
        <w:rPr>
          <w:sz w:val="24"/>
          <w:szCs w:val="24"/>
        </w:rPr>
        <w:t xml:space="preserve">the four or five conversations it had with Mr. </w:t>
      </w:r>
      <w:r w:rsidR="008F525A">
        <w:rPr>
          <w:sz w:val="24"/>
          <w:szCs w:val="24"/>
        </w:rPr>
        <w:t>Doe</w:t>
      </w:r>
      <w:r w:rsidR="00575AE7">
        <w:rPr>
          <w:sz w:val="24"/>
          <w:szCs w:val="24"/>
        </w:rPr>
        <w:t xml:space="preserve">. </w:t>
      </w:r>
      <w:r w:rsidR="00B02366">
        <w:rPr>
          <w:sz w:val="24"/>
          <w:szCs w:val="24"/>
        </w:rPr>
        <w:t xml:space="preserve">(2) the work product doctrine, (A) does not allow </w:t>
      </w:r>
      <w:r w:rsidR="00374C91">
        <w:rPr>
          <w:sz w:val="24"/>
          <w:szCs w:val="24"/>
        </w:rPr>
        <w:t>a d</w:t>
      </w:r>
      <w:r w:rsidR="00B02366">
        <w:rPr>
          <w:sz w:val="24"/>
          <w:szCs w:val="24"/>
        </w:rPr>
        <w:t xml:space="preserve">efendant to avoid the duty to provide a copy of a recording to the </w:t>
      </w:r>
      <w:r w:rsidR="00374C91">
        <w:rPr>
          <w:sz w:val="24"/>
          <w:szCs w:val="24"/>
        </w:rPr>
        <w:t>parties to the recording. That is a basic precept of the judicial system; (B) the work product</w:t>
      </w:r>
      <w:r w:rsidR="0065248C">
        <w:rPr>
          <w:sz w:val="24"/>
          <w:szCs w:val="24"/>
        </w:rPr>
        <w:t xml:space="preserve"> and </w:t>
      </w:r>
      <w:r w:rsidR="0065248C">
        <w:rPr>
          <w:sz w:val="24"/>
          <w:szCs w:val="24"/>
        </w:rPr>
        <w:lastRenderedPageBreak/>
        <w:t>“anticipation of litigation”</w:t>
      </w:r>
      <w:r w:rsidR="00374C91">
        <w:rPr>
          <w:sz w:val="24"/>
          <w:szCs w:val="24"/>
        </w:rPr>
        <w:t xml:space="preserve"> doctrine</w:t>
      </w:r>
      <w:r w:rsidR="0065248C">
        <w:rPr>
          <w:sz w:val="24"/>
          <w:szCs w:val="24"/>
        </w:rPr>
        <w:t>s</w:t>
      </w:r>
      <w:r w:rsidR="00374C91">
        <w:rPr>
          <w:sz w:val="24"/>
          <w:szCs w:val="24"/>
        </w:rPr>
        <w:t xml:space="preserve"> do not extend to </w:t>
      </w:r>
      <w:r w:rsidR="00EA6FB0">
        <w:rPr>
          <w:sz w:val="24"/>
          <w:szCs w:val="24"/>
        </w:rPr>
        <w:t xml:space="preserve">material gathered as part of an insurance company’s claims investigation procedure. </w:t>
      </w:r>
    </w:p>
    <w:p w14:paraId="540824AF" w14:textId="58F82276" w:rsidR="00B425DE" w:rsidRDefault="005473DA" w:rsidP="005C2701">
      <w:pPr>
        <w:spacing w:line="480" w:lineRule="auto"/>
        <w:ind w:firstLine="720"/>
        <w:rPr>
          <w:sz w:val="24"/>
          <w:szCs w:val="24"/>
        </w:rPr>
      </w:pPr>
      <w:r>
        <w:rPr>
          <w:sz w:val="24"/>
          <w:szCs w:val="24"/>
        </w:rPr>
        <w:t>Defendant</w:t>
      </w:r>
      <w:r w:rsidR="00EA6FB0">
        <w:rPr>
          <w:sz w:val="24"/>
          <w:szCs w:val="24"/>
        </w:rPr>
        <w:t xml:space="preserve"> (and Geico) can hardly claim </w:t>
      </w:r>
      <w:r w:rsidR="00F93E28">
        <w:rPr>
          <w:sz w:val="24"/>
          <w:szCs w:val="24"/>
        </w:rPr>
        <w:t xml:space="preserve">the </w:t>
      </w:r>
      <w:r w:rsidR="00593357">
        <w:rPr>
          <w:sz w:val="24"/>
          <w:szCs w:val="24"/>
        </w:rPr>
        <w:t>work product</w:t>
      </w:r>
      <w:r w:rsidR="0065248C">
        <w:rPr>
          <w:sz w:val="24"/>
          <w:szCs w:val="24"/>
        </w:rPr>
        <w:t>/anticipation of litigation protections are</w:t>
      </w:r>
      <w:r w:rsidR="00F93E28">
        <w:rPr>
          <w:sz w:val="24"/>
          <w:szCs w:val="24"/>
        </w:rPr>
        <w:t xml:space="preserve"> designed to protect </w:t>
      </w:r>
      <w:r w:rsidR="00EA22FE">
        <w:rPr>
          <w:sz w:val="24"/>
          <w:szCs w:val="24"/>
        </w:rPr>
        <w:t xml:space="preserve">the kind of deception practiced on Mr. </w:t>
      </w:r>
      <w:r w:rsidR="008F525A">
        <w:rPr>
          <w:sz w:val="24"/>
          <w:szCs w:val="24"/>
        </w:rPr>
        <w:t>Doe</w:t>
      </w:r>
      <w:r w:rsidR="00EA22FE">
        <w:rPr>
          <w:sz w:val="24"/>
          <w:szCs w:val="24"/>
        </w:rPr>
        <w:t xml:space="preserve"> with respect to the adjuster</w:t>
      </w:r>
      <w:r w:rsidR="004A4A02">
        <w:rPr>
          <w:sz w:val="24"/>
          <w:szCs w:val="24"/>
        </w:rPr>
        <w:t>’</w:t>
      </w:r>
      <w:r w:rsidR="00EA22FE">
        <w:rPr>
          <w:sz w:val="24"/>
          <w:szCs w:val="24"/>
        </w:rPr>
        <w:t xml:space="preserve">s advice </w:t>
      </w:r>
      <w:r>
        <w:rPr>
          <w:sz w:val="24"/>
          <w:szCs w:val="24"/>
        </w:rPr>
        <w:t xml:space="preserve">that </w:t>
      </w:r>
      <w:r w:rsidR="004A4A02">
        <w:rPr>
          <w:sz w:val="24"/>
          <w:szCs w:val="24"/>
        </w:rPr>
        <w:t>he</w:t>
      </w:r>
      <w:r w:rsidR="00EA22FE">
        <w:rPr>
          <w:sz w:val="24"/>
          <w:szCs w:val="24"/>
        </w:rPr>
        <w:t xml:space="preserve"> </w:t>
      </w:r>
      <w:r>
        <w:rPr>
          <w:sz w:val="24"/>
          <w:szCs w:val="24"/>
        </w:rPr>
        <w:t xml:space="preserve">should </w:t>
      </w:r>
      <w:r w:rsidR="00EA22FE">
        <w:rPr>
          <w:sz w:val="24"/>
          <w:szCs w:val="24"/>
        </w:rPr>
        <w:t xml:space="preserve">ignore his doctors. </w:t>
      </w:r>
      <w:r w:rsidR="00593357">
        <w:rPr>
          <w:sz w:val="24"/>
          <w:szCs w:val="24"/>
        </w:rPr>
        <w:t xml:space="preserve">It is </w:t>
      </w:r>
      <w:r w:rsidR="00EA22FE">
        <w:rPr>
          <w:sz w:val="24"/>
          <w:szCs w:val="24"/>
        </w:rPr>
        <w:t xml:space="preserve">likewise absurd to claim </w:t>
      </w:r>
      <w:r w:rsidR="0065248C">
        <w:rPr>
          <w:sz w:val="24"/>
          <w:szCs w:val="24"/>
        </w:rPr>
        <w:t>pri</w:t>
      </w:r>
      <w:r w:rsidR="004A4A02">
        <w:rPr>
          <w:sz w:val="24"/>
          <w:szCs w:val="24"/>
        </w:rPr>
        <w:t xml:space="preserve">vileges </w:t>
      </w:r>
      <w:r w:rsidR="00FE0B65">
        <w:rPr>
          <w:sz w:val="24"/>
          <w:szCs w:val="24"/>
        </w:rPr>
        <w:t xml:space="preserve">pertaining to expected litigation when the </w:t>
      </w:r>
      <w:r w:rsidR="00B425DE">
        <w:rPr>
          <w:sz w:val="24"/>
          <w:szCs w:val="24"/>
        </w:rPr>
        <w:t xml:space="preserve">entire thrust of the adjuster’s claims was that there was never going to be any litigation. </w:t>
      </w:r>
      <w:r w:rsidR="00BA4FC8" w:rsidRPr="003B5388">
        <w:rPr>
          <w:i/>
          <w:sz w:val="24"/>
          <w:szCs w:val="24"/>
        </w:rPr>
        <w:t>There is simply no “privilege” that shields an insurance adjuster</w:t>
      </w:r>
      <w:r w:rsidR="003B5388" w:rsidRPr="003B5388">
        <w:rPr>
          <w:i/>
          <w:sz w:val="24"/>
          <w:szCs w:val="24"/>
        </w:rPr>
        <w:t>’s efforts to provide medical and legal advice to an injured victim.</w:t>
      </w:r>
    </w:p>
    <w:p w14:paraId="7786F58B" w14:textId="77452CA4" w:rsidR="005C2701" w:rsidRDefault="00B425DE" w:rsidP="00A46C5F">
      <w:pPr>
        <w:spacing w:line="480" w:lineRule="auto"/>
        <w:ind w:firstLine="720"/>
        <w:rPr>
          <w:b/>
          <w:sz w:val="24"/>
          <w:szCs w:val="24"/>
        </w:rPr>
      </w:pPr>
      <w:r>
        <w:rPr>
          <w:sz w:val="24"/>
          <w:szCs w:val="24"/>
        </w:rPr>
        <w:t>Defendant should be made to provide the recorded conversations, and</w:t>
      </w:r>
      <w:r w:rsidR="00570A56">
        <w:rPr>
          <w:sz w:val="24"/>
          <w:szCs w:val="24"/>
        </w:rPr>
        <w:t>, should be</w:t>
      </w:r>
      <w:r>
        <w:rPr>
          <w:sz w:val="24"/>
          <w:szCs w:val="24"/>
        </w:rPr>
        <w:t xml:space="preserve"> </w:t>
      </w:r>
      <w:r w:rsidR="00AB5CF6">
        <w:rPr>
          <w:sz w:val="24"/>
          <w:szCs w:val="24"/>
        </w:rPr>
        <w:t>ordered to pay the costs of this motion to compel</w:t>
      </w:r>
      <w:r w:rsidR="00D1437C">
        <w:rPr>
          <w:sz w:val="24"/>
          <w:szCs w:val="24"/>
        </w:rPr>
        <w:t>, including Plaintiff’s attorney fee</w:t>
      </w:r>
      <w:r w:rsidR="00AB5CF6">
        <w:rPr>
          <w:sz w:val="24"/>
          <w:szCs w:val="24"/>
        </w:rPr>
        <w:t>.</w:t>
      </w:r>
      <w:r w:rsidR="004A4A02">
        <w:rPr>
          <w:sz w:val="24"/>
          <w:szCs w:val="24"/>
        </w:rPr>
        <w:t xml:space="preserve"> </w:t>
      </w:r>
    </w:p>
    <w:p w14:paraId="7D9CC744" w14:textId="140C4BAF" w:rsidR="0059286A" w:rsidRDefault="0059286A" w:rsidP="0059286A">
      <w:pPr>
        <w:spacing w:line="480" w:lineRule="auto"/>
        <w:jc w:val="center"/>
        <w:rPr>
          <w:b/>
          <w:sz w:val="24"/>
          <w:szCs w:val="24"/>
        </w:rPr>
      </w:pPr>
      <w:r>
        <w:rPr>
          <w:b/>
          <w:sz w:val="24"/>
          <w:szCs w:val="24"/>
        </w:rPr>
        <w:t xml:space="preserve">II. </w:t>
      </w:r>
      <w:r w:rsidR="00792E27">
        <w:rPr>
          <w:b/>
          <w:sz w:val="24"/>
          <w:szCs w:val="24"/>
        </w:rPr>
        <w:t>Certification of Good Faith Conference</w:t>
      </w:r>
    </w:p>
    <w:p w14:paraId="79DF677D" w14:textId="2FFEE4F0" w:rsidR="004E043A" w:rsidRPr="00D90971" w:rsidRDefault="004E043A" w:rsidP="004E043A">
      <w:pPr>
        <w:spacing w:line="480" w:lineRule="auto"/>
        <w:rPr>
          <w:sz w:val="24"/>
          <w:szCs w:val="24"/>
        </w:rPr>
      </w:pPr>
      <w:r>
        <w:rPr>
          <w:b/>
          <w:sz w:val="24"/>
          <w:szCs w:val="24"/>
        </w:rPr>
        <w:tab/>
      </w:r>
      <w:r w:rsidR="00D90971">
        <w:rPr>
          <w:sz w:val="24"/>
          <w:szCs w:val="24"/>
        </w:rPr>
        <w:t>M</w:t>
      </w:r>
      <w:r w:rsidRPr="00D90971">
        <w:rPr>
          <w:sz w:val="24"/>
          <w:szCs w:val="24"/>
        </w:rPr>
        <w:t>ovant</w:t>
      </w:r>
      <w:r w:rsidR="00D90971">
        <w:rPr>
          <w:sz w:val="24"/>
          <w:szCs w:val="24"/>
        </w:rPr>
        <w:t>,</w:t>
      </w:r>
      <w:r w:rsidRPr="00D90971">
        <w:rPr>
          <w:sz w:val="24"/>
          <w:szCs w:val="24"/>
        </w:rPr>
        <w:t xml:space="preserve"> in good faith</w:t>
      </w:r>
      <w:r w:rsidR="00D90971">
        <w:rPr>
          <w:sz w:val="24"/>
          <w:szCs w:val="24"/>
        </w:rPr>
        <w:t>,</w:t>
      </w:r>
      <w:r w:rsidRPr="00D90971">
        <w:rPr>
          <w:sz w:val="24"/>
          <w:szCs w:val="24"/>
        </w:rPr>
        <w:t xml:space="preserve"> conferr</w:t>
      </w:r>
      <w:r w:rsidR="00D90971">
        <w:rPr>
          <w:sz w:val="24"/>
          <w:szCs w:val="24"/>
        </w:rPr>
        <w:t>ed with counsel for Defendant by telephone on ??????????</w:t>
      </w:r>
      <w:proofErr w:type="gramStart"/>
      <w:r w:rsidR="00D90971">
        <w:rPr>
          <w:sz w:val="24"/>
          <w:szCs w:val="24"/>
        </w:rPr>
        <w:t xml:space="preserve">, </w:t>
      </w:r>
      <w:r w:rsidRPr="00D90971">
        <w:rPr>
          <w:sz w:val="24"/>
          <w:szCs w:val="24"/>
        </w:rPr>
        <w:t xml:space="preserve"> in</w:t>
      </w:r>
      <w:proofErr w:type="gramEnd"/>
      <w:r w:rsidRPr="00D90971">
        <w:rPr>
          <w:sz w:val="24"/>
          <w:szCs w:val="24"/>
        </w:rPr>
        <w:t xml:space="preserve"> an effort to secure the information or material without court action.</w:t>
      </w:r>
    </w:p>
    <w:p w14:paraId="265A25B4" w14:textId="7A068F16" w:rsidR="00EC31F4" w:rsidRDefault="005C2701" w:rsidP="0059286A">
      <w:pPr>
        <w:spacing w:line="480" w:lineRule="auto"/>
        <w:jc w:val="center"/>
        <w:rPr>
          <w:b/>
          <w:sz w:val="24"/>
          <w:szCs w:val="24"/>
        </w:rPr>
      </w:pPr>
      <w:r>
        <w:rPr>
          <w:b/>
          <w:sz w:val="24"/>
          <w:szCs w:val="24"/>
        </w:rPr>
        <w:t xml:space="preserve">III. </w:t>
      </w:r>
      <w:r w:rsidR="00EC31F4">
        <w:rPr>
          <w:b/>
          <w:sz w:val="24"/>
          <w:szCs w:val="24"/>
        </w:rPr>
        <w:t>Argument and Authorities</w:t>
      </w:r>
    </w:p>
    <w:p w14:paraId="3031D34C" w14:textId="6A4769CC" w:rsidR="00CB4E4B" w:rsidRDefault="000D79F0" w:rsidP="00A40825">
      <w:pPr>
        <w:spacing w:line="480" w:lineRule="auto"/>
        <w:jc w:val="center"/>
        <w:rPr>
          <w:b/>
          <w:i/>
          <w:sz w:val="24"/>
          <w:szCs w:val="24"/>
        </w:rPr>
      </w:pPr>
      <w:r>
        <w:rPr>
          <w:b/>
          <w:i/>
          <w:sz w:val="24"/>
          <w:szCs w:val="24"/>
        </w:rPr>
        <w:t xml:space="preserve">A. </w:t>
      </w:r>
      <w:r w:rsidR="009D01CE">
        <w:rPr>
          <w:b/>
          <w:i/>
          <w:sz w:val="24"/>
          <w:szCs w:val="24"/>
        </w:rPr>
        <w:t xml:space="preserve">Defendant Cannot Claim a Privilege to Withhold Mr. </w:t>
      </w:r>
      <w:r w:rsidR="008F525A">
        <w:rPr>
          <w:b/>
          <w:i/>
          <w:sz w:val="24"/>
          <w:szCs w:val="24"/>
        </w:rPr>
        <w:t>Doe</w:t>
      </w:r>
      <w:r w:rsidR="009D01CE">
        <w:rPr>
          <w:b/>
          <w:i/>
          <w:sz w:val="24"/>
          <w:szCs w:val="24"/>
        </w:rPr>
        <w:t>’s Own Statements</w:t>
      </w:r>
    </w:p>
    <w:p w14:paraId="56DF9887" w14:textId="784AFA7A" w:rsidR="009D01CE" w:rsidRDefault="009D01CE" w:rsidP="009D01CE">
      <w:pPr>
        <w:spacing w:line="480" w:lineRule="auto"/>
        <w:rPr>
          <w:sz w:val="24"/>
          <w:szCs w:val="24"/>
        </w:rPr>
      </w:pPr>
      <w:r>
        <w:rPr>
          <w:sz w:val="24"/>
          <w:szCs w:val="24"/>
        </w:rPr>
        <w:t>The work product/anticipation of litigation doctrin</w:t>
      </w:r>
      <w:r w:rsidR="00EC4F4C">
        <w:rPr>
          <w:sz w:val="24"/>
          <w:szCs w:val="24"/>
        </w:rPr>
        <w:t>e simply does not allow a party to withhold a statement from a part to the statement:</w:t>
      </w:r>
    </w:p>
    <w:p w14:paraId="4E4CCEF8" w14:textId="69C5430F" w:rsidR="00EC4F4C" w:rsidRPr="00EC4F4C" w:rsidRDefault="00B93928" w:rsidP="00EC4F4C">
      <w:pPr>
        <w:ind w:left="720"/>
        <w:rPr>
          <w:sz w:val="24"/>
          <w:szCs w:val="24"/>
        </w:rPr>
      </w:pPr>
      <w:r>
        <w:rPr>
          <w:sz w:val="24"/>
          <w:szCs w:val="24"/>
        </w:rPr>
        <w:t>12 O.S. § 3226(B)(3)(</w:t>
      </w:r>
      <w:r w:rsidR="00EC4F4C" w:rsidRPr="00EC4F4C">
        <w:rPr>
          <w:sz w:val="24"/>
          <w:szCs w:val="24"/>
        </w:rPr>
        <w:t>c</w:t>
      </w:r>
      <w:r>
        <w:rPr>
          <w:sz w:val="24"/>
          <w:szCs w:val="24"/>
        </w:rPr>
        <w:t>):</w:t>
      </w:r>
      <w:r w:rsidR="00EC4F4C" w:rsidRPr="00EC4F4C">
        <w:rPr>
          <w:sz w:val="24"/>
          <w:szCs w:val="24"/>
        </w:rPr>
        <w:t xml:space="preserve"> </w:t>
      </w:r>
      <w:r w:rsidR="00EC4F4C" w:rsidRPr="000D79F0">
        <w:rPr>
          <w:i/>
          <w:sz w:val="24"/>
          <w:szCs w:val="24"/>
        </w:rPr>
        <w:t>A party</w:t>
      </w:r>
      <w:r w:rsidR="00EC4F4C" w:rsidRPr="00EC4F4C">
        <w:rPr>
          <w:sz w:val="24"/>
          <w:szCs w:val="24"/>
        </w:rPr>
        <w:t xml:space="preserve"> or other person </w:t>
      </w:r>
      <w:r w:rsidR="00EC4F4C" w:rsidRPr="000D79F0">
        <w:rPr>
          <w:i/>
          <w:sz w:val="24"/>
          <w:szCs w:val="24"/>
        </w:rPr>
        <w:t xml:space="preserve">may, upon request and without the required showing, obtain the person's own previous statement about the action or its subject matter. </w:t>
      </w:r>
      <w:bookmarkStart w:id="2" w:name="_Hlk505585082"/>
      <w:r w:rsidR="00EC4F4C" w:rsidRPr="00EC4F4C">
        <w:rPr>
          <w:sz w:val="24"/>
          <w:szCs w:val="24"/>
        </w:rPr>
        <w:t xml:space="preserve">If the request is refused, the person may move for a court order, and the provisions of paragraph 4 of subsection A of Section 3237 of this title apply to the award of expenses. </w:t>
      </w:r>
      <w:bookmarkEnd w:id="2"/>
      <w:r w:rsidR="00EC4F4C" w:rsidRPr="000D79F0">
        <w:rPr>
          <w:i/>
          <w:sz w:val="24"/>
          <w:szCs w:val="24"/>
        </w:rPr>
        <w:t>A previous statement is</w:t>
      </w:r>
      <w:r w:rsidR="00EC4F4C" w:rsidRPr="00EC4F4C">
        <w:rPr>
          <w:sz w:val="24"/>
          <w:szCs w:val="24"/>
        </w:rPr>
        <w:t xml:space="preserve"> either:</w:t>
      </w:r>
    </w:p>
    <w:p w14:paraId="73ACE698" w14:textId="77777777" w:rsidR="00EC4F4C" w:rsidRPr="00EC4F4C" w:rsidRDefault="00EC4F4C" w:rsidP="00EC4F4C">
      <w:pPr>
        <w:rPr>
          <w:sz w:val="24"/>
          <w:szCs w:val="24"/>
        </w:rPr>
      </w:pPr>
    </w:p>
    <w:p w14:paraId="4B1741A4" w14:textId="77777777" w:rsidR="00EC4F4C" w:rsidRPr="00EC4F4C" w:rsidRDefault="00EC4F4C" w:rsidP="00EC4F4C">
      <w:pPr>
        <w:ind w:firstLine="720"/>
        <w:rPr>
          <w:sz w:val="24"/>
          <w:szCs w:val="24"/>
        </w:rPr>
      </w:pPr>
      <w:r w:rsidRPr="00EC4F4C">
        <w:rPr>
          <w:sz w:val="24"/>
          <w:szCs w:val="24"/>
        </w:rPr>
        <w:t>(1) a written statement that the person has signed or otherwise adopted or approved, or</w:t>
      </w:r>
    </w:p>
    <w:p w14:paraId="563E041F" w14:textId="77777777" w:rsidR="00EC4F4C" w:rsidRPr="00EC4F4C" w:rsidRDefault="00EC4F4C" w:rsidP="00EC4F4C">
      <w:pPr>
        <w:rPr>
          <w:sz w:val="24"/>
          <w:szCs w:val="24"/>
        </w:rPr>
      </w:pPr>
    </w:p>
    <w:p w14:paraId="24310769" w14:textId="44AE0DFF" w:rsidR="00EC4F4C" w:rsidRDefault="00EC4F4C" w:rsidP="00EC4F4C">
      <w:pPr>
        <w:ind w:left="720"/>
        <w:rPr>
          <w:sz w:val="24"/>
          <w:szCs w:val="24"/>
        </w:rPr>
      </w:pPr>
      <w:r w:rsidRPr="00EC4F4C">
        <w:rPr>
          <w:sz w:val="24"/>
          <w:szCs w:val="24"/>
        </w:rPr>
        <w:lastRenderedPageBreak/>
        <w:t>(2</w:t>
      </w:r>
      <w:r w:rsidRPr="000D79F0">
        <w:rPr>
          <w:i/>
          <w:sz w:val="24"/>
          <w:szCs w:val="24"/>
        </w:rPr>
        <w:t>) a contemporaneous</w:t>
      </w:r>
      <w:r w:rsidRPr="00EC4F4C">
        <w:rPr>
          <w:sz w:val="24"/>
          <w:szCs w:val="24"/>
        </w:rPr>
        <w:t xml:space="preserve"> stenographic, mechanical, </w:t>
      </w:r>
      <w:r w:rsidRPr="000D79F0">
        <w:rPr>
          <w:i/>
          <w:sz w:val="24"/>
          <w:szCs w:val="24"/>
        </w:rPr>
        <w:t>electrical, or other recording</w:t>
      </w:r>
      <w:r w:rsidRPr="00EC4F4C">
        <w:rPr>
          <w:sz w:val="24"/>
          <w:szCs w:val="24"/>
        </w:rPr>
        <w:t xml:space="preserve">, or a transcription thereof, </w:t>
      </w:r>
      <w:r w:rsidRPr="000D79F0">
        <w:rPr>
          <w:i/>
          <w:sz w:val="24"/>
          <w:szCs w:val="24"/>
        </w:rPr>
        <w:t>which recites substantially verbatim the person's oral statement</w:t>
      </w:r>
      <w:r w:rsidRPr="00EC4F4C">
        <w:rPr>
          <w:sz w:val="24"/>
          <w:szCs w:val="24"/>
        </w:rPr>
        <w:t>.</w:t>
      </w:r>
    </w:p>
    <w:p w14:paraId="645BB804" w14:textId="77777777" w:rsidR="00EC4F4C" w:rsidRPr="00EC4F4C" w:rsidRDefault="00EC4F4C" w:rsidP="00EC4F4C">
      <w:pPr>
        <w:ind w:left="720"/>
        <w:rPr>
          <w:sz w:val="24"/>
          <w:szCs w:val="24"/>
        </w:rPr>
      </w:pPr>
    </w:p>
    <w:p w14:paraId="6BA5C720" w14:textId="6F69B7D0" w:rsidR="00A40825" w:rsidRPr="00A40825" w:rsidRDefault="000D79F0" w:rsidP="00A40825">
      <w:pPr>
        <w:spacing w:line="480" w:lineRule="auto"/>
        <w:jc w:val="center"/>
        <w:rPr>
          <w:sz w:val="24"/>
          <w:szCs w:val="24"/>
        </w:rPr>
      </w:pPr>
      <w:r>
        <w:rPr>
          <w:b/>
          <w:i/>
          <w:sz w:val="24"/>
          <w:szCs w:val="24"/>
        </w:rPr>
        <w:t xml:space="preserve">B. </w:t>
      </w:r>
      <w:r w:rsidR="00A40825" w:rsidRPr="00A40825">
        <w:rPr>
          <w:b/>
          <w:i/>
          <w:sz w:val="24"/>
          <w:szCs w:val="24"/>
        </w:rPr>
        <w:t>Statements Taken in the Ordinary Course of Business</w:t>
      </w:r>
      <w:r w:rsidR="00A40825">
        <w:rPr>
          <w:b/>
          <w:i/>
          <w:sz w:val="24"/>
          <w:szCs w:val="24"/>
        </w:rPr>
        <w:t xml:space="preserve"> are</w:t>
      </w:r>
      <w:r w:rsidR="00A40825" w:rsidRPr="00A40825">
        <w:rPr>
          <w:b/>
          <w:i/>
          <w:sz w:val="24"/>
          <w:szCs w:val="24"/>
        </w:rPr>
        <w:t xml:space="preserve"> Not Privileged</w:t>
      </w:r>
    </w:p>
    <w:p w14:paraId="79801976" w14:textId="0E0D47F5" w:rsidR="008151BA" w:rsidRDefault="00A40825" w:rsidP="008151BA">
      <w:pPr>
        <w:spacing w:line="480" w:lineRule="auto"/>
        <w:ind w:firstLine="720"/>
        <w:rPr>
          <w:sz w:val="24"/>
          <w:szCs w:val="24"/>
        </w:rPr>
      </w:pPr>
      <w:r>
        <w:rPr>
          <w:sz w:val="24"/>
          <w:szCs w:val="24"/>
        </w:rPr>
        <w:t>D</w:t>
      </w:r>
      <w:r w:rsidRPr="00A40825">
        <w:rPr>
          <w:sz w:val="24"/>
          <w:szCs w:val="24"/>
        </w:rPr>
        <w:t xml:space="preserve">efendants’ “anticipation of litigation” objection was rejected by the Oklahoma Supreme Court more than twenty years ago in </w:t>
      </w:r>
      <w:r w:rsidRPr="008151BA">
        <w:rPr>
          <w:i/>
          <w:sz w:val="24"/>
          <w:szCs w:val="24"/>
        </w:rPr>
        <w:t>Hall v. Goodwin</w:t>
      </w:r>
      <w:r w:rsidRPr="00A40825">
        <w:rPr>
          <w:sz w:val="24"/>
          <w:szCs w:val="24"/>
        </w:rPr>
        <w:t xml:space="preserve">, 1989 OK 88, 775 P.2d 291, 295-96.  Following established federal precedent, in Hall the court ruled that there is no “work product” protection for documents “secured in the regular course of duties performed by [an] individual as an employee of the insurance company (the ordinary course of business).”  </w:t>
      </w:r>
      <w:r w:rsidRPr="008151BA">
        <w:rPr>
          <w:i/>
          <w:sz w:val="24"/>
          <w:szCs w:val="24"/>
        </w:rPr>
        <w:t>Id</w:t>
      </w:r>
      <w:r w:rsidRPr="00A40825">
        <w:rPr>
          <w:sz w:val="24"/>
          <w:szCs w:val="24"/>
        </w:rPr>
        <w:t xml:space="preserve">.  The court’s focus is on whether the document is one “typically prepared by the insurance company prior to notice of a lawsuit[.]” </w:t>
      </w:r>
      <w:r w:rsidRPr="008151BA">
        <w:rPr>
          <w:i/>
          <w:sz w:val="24"/>
          <w:szCs w:val="24"/>
        </w:rPr>
        <w:t>Id</w:t>
      </w:r>
      <w:r w:rsidRPr="00A40825">
        <w:rPr>
          <w:sz w:val="24"/>
          <w:szCs w:val="24"/>
        </w:rPr>
        <w:t>.</w:t>
      </w:r>
    </w:p>
    <w:p w14:paraId="3A6D27FB" w14:textId="77777777" w:rsidR="008151BA" w:rsidRDefault="00A40825" w:rsidP="008151BA">
      <w:pPr>
        <w:spacing w:line="480" w:lineRule="auto"/>
        <w:ind w:firstLine="720"/>
        <w:rPr>
          <w:sz w:val="24"/>
          <w:szCs w:val="24"/>
        </w:rPr>
      </w:pPr>
      <w:r w:rsidRPr="00A40825">
        <w:rPr>
          <w:sz w:val="24"/>
          <w:szCs w:val="24"/>
        </w:rPr>
        <w:t xml:space="preserve">In </w:t>
      </w:r>
      <w:r w:rsidRPr="006B7AE0">
        <w:rPr>
          <w:i/>
          <w:sz w:val="24"/>
          <w:szCs w:val="24"/>
        </w:rPr>
        <w:t>Hall</w:t>
      </w:r>
      <w:r w:rsidRPr="00A40825">
        <w:rPr>
          <w:sz w:val="24"/>
          <w:szCs w:val="24"/>
        </w:rPr>
        <w:t xml:space="preserve">, the court determined that a statement taken in the ordinary course of the insurance company’s investigation of a claim was not privileged even though it was taken by a lawyer.  The reason is obvious – the work product privilege applies only to documents created “in anticipation of litigation.” </w:t>
      </w:r>
    </w:p>
    <w:p w14:paraId="488CC07C" w14:textId="77777777" w:rsidR="00423A39" w:rsidRDefault="00A40825" w:rsidP="00423A39">
      <w:pPr>
        <w:spacing w:line="480" w:lineRule="auto"/>
        <w:ind w:firstLine="720"/>
        <w:rPr>
          <w:sz w:val="24"/>
          <w:szCs w:val="24"/>
        </w:rPr>
      </w:pPr>
      <w:r w:rsidRPr="00A40825">
        <w:rPr>
          <w:sz w:val="24"/>
          <w:szCs w:val="24"/>
        </w:rPr>
        <w:t>I</w:t>
      </w:r>
      <w:r w:rsidR="00E741CB">
        <w:rPr>
          <w:sz w:val="24"/>
          <w:szCs w:val="24"/>
        </w:rPr>
        <w:t>t is</w:t>
      </w:r>
      <w:r w:rsidRPr="00A40825">
        <w:rPr>
          <w:sz w:val="24"/>
          <w:szCs w:val="24"/>
        </w:rPr>
        <w:t xml:space="preserve"> a given that an insurance company’s initial investigation is conducted as a matter of routine and not based on an imminent threat of a lawsuit.  </w:t>
      </w:r>
      <w:r w:rsidRPr="006B7AE0">
        <w:rPr>
          <w:i/>
          <w:sz w:val="24"/>
          <w:szCs w:val="24"/>
        </w:rPr>
        <w:t>Hall</w:t>
      </w:r>
      <w:r w:rsidRPr="00A40825">
        <w:rPr>
          <w:sz w:val="24"/>
          <w:szCs w:val="24"/>
        </w:rPr>
        <w:t xml:space="preserve"> relied on the Fourth Circuit’s opinion in </w:t>
      </w:r>
      <w:r w:rsidRPr="006B7AE0">
        <w:rPr>
          <w:i/>
          <w:sz w:val="24"/>
          <w:szCs w:val="24"/>
        </w:rPr>
        <w:t>McDougall v. Dunn</w:t>
      </w:r>
      <w:r w:rsidRPr="00A40825">
        <w:rPr>
          <w:sz w:val="24"/>
          <w:szCs w:val="24"/>
        </w:rPr>
        <w:t>, 468 F.2d 468 (4th Cir.1972), where the court held that statements given to an insurance claims adjuster shortly after an automobile accident were discoverable</w:t>
      </w:r>
      <w:r w:rsidR="006B7AE0">
        <w:rPr>
          <w:sz w:val="24"/>
          <w:szCs w:val="24"/>
        </w:rPr>
        <w:t xml:space="preserve"> </w:t>
      </w:r>
      <w:r w:rsidRPr="00A40825">
        <w:rPr>
          <w:sz w:val="24"/>
          <w:szCs w:val="24"/>
        </w:rPr>
        <w:t xml:space="preserve">because the statements were not prepared in anticipation of litigation or for trial. </w:t>
      </w:r>
      <w:r w:rsidRPr="006B7AE0">
        <w:rPr>
          <w:i/>
          <w:sz w:val="24"/>
          <w:szCs w:val="24"/>
        </w:rPr>
        <w:t>McDougall</w:t>
      </w:r>
      <w:r w:rsidRPr="00A40825">
        <w:rPr>
          <w:sz w:val="24"/>
          <w:szCs w:val="24"/>
        </w:rPr>
        <w:t xml:space="preserve"> reject</w:t>
      </w:r>
      <w:r w:rsidR="006B7AE0">
        <w:rPr>
          <w:sz w:val="24"/>
          <w:szCs w:val="24"/>
        </w:rPr>
        <w:t>ed</w:t>
      </w:r>
      <w:r w:rsidRPr="00A40825">
        <w:rPr>
          <w:sz w:val="24"/>
          <w:szCs w:val="24"/>
        </w:rPr>
        <w:t xml:space="preserve"> the </w:t>
      </w:r>
      <w:r w:rsidR="006B7AE0">
        <w:rPr>
          <w:sz w:val="24"/>
          <w:szCs w:val="24"/>
        </w:rPr>
        <w:t xml:space="preserve">insurance company </w:t>
      </w:r>
      <w:r w:rsidRPr="00A40825">
        <w:rPr>
          <w:sz w:val="24"/>
          <w:szCs w:val="24"/>
        </w:rPr>
        <w:t xml:space="preserve">contention that the statements were prepared in anticipation of litigation or for trial and found that they were “secured by the claim adjuster in the regular course </w:t>
      </w:r>
      <w:r w:rsidRPr="00A40825">
        <w:rPr>
          <w:sz w:val="24"/>
          <w:szCs w:val="24"/>
        </w:rPr>
        <w:lastRenderedPageBreak/>
        <w:t xml:space="preserve">of his duties as an employee of the insurance company and presumably were incorporated in the files of the company.” </w:t>
      </w:r>
      <w:r w:rsidRPr="00E741CB">
        <w:rPr>
          <w:i/>
          <w:sz w:val="24"/>
          <w:szCs w:val="24"/>
        </w:rPr>
        <w:t>McDougall</w:t>
      </w:r>
      <w:r w:rsidRPr="00A40825">
        <w:rPr>
          <w:sz w:val="24"/>
          <w:szCs w:val="24"/>
        </w:rPr>
        <w:t>, 468 F.2d at 473.</w:t>
      </w:r>
    </w:p>
    <w:p w14:paraId="0CCE3265" w14:textId="77777777" w:rsidR="00423A39" w:rsidRDefault="00423A39" w:rsidP="00423A39">
      <w:pPr>
        <w:spacing w:line="480" w:lineRule="auto"/>
        <w:ind w:firstLine="720"/>
        <w:rPr>
          <w:sz w:val="24"/>
          <w:szCs w:val="24"/>
        </w:rPr>
      </w:pPr>
      <w:r w:rsidRPr="00423A39">
        <w:rPr>
          <w:sz w:val="24"/>
          <w:szCs w:val="24"/>
        </w:rPr>
        <w:t xml:space="preserve">“The mere fact that litigation does eventually ensue does not, by itself, cloak materials” with work product immunity. </w:t>
      </w:r>
      <w:proofErr w:type="spellStart"/>
      <w:r w:rsidRPr="00021387">
        <w:rPr>
          <w:i/>
          <w:sz w:val="24"/>
          <w:szCs w:val="24"/>
        </w:rPr>
        <w:t>Binks</w:t>
      </w:r>
      <w:proofErr w:type="spellEnd"/>
      <w:r w:rsidRPr="00021387">
        <w:rPr>
          <w:i/>
          <w:sz w:val="24"/>
          <w:szCs w:val="24"/>
        </w:rPr>
        <w:t xml:space="preserve"> Mfg. Co. v. National Presto Indus., Inc</w:t>
      </w:r>
      <w:r w:rsidRPr="00423A39">
        <w:rPr>
          <w:sz w:val="24"/>
          <w:szCs w:val="24"/>
        </w:rPr>
        <w:t xml:space="preserve">., 709 F.2d 1109, 1118 (7th Cir.1983). See also </w:t>
      </w:r>
      <w:proofErr w:type="spellStart"/>
      <w:r w:rsidRPr="00021387">
        <w:rPr>
          <w:i/>
          <w:sz w:val="24"/>
          <w:szCs w:val="24"/>
        </w:rPr>
        <w:t>Janicker</w:t>
      </w:r>
      <w:proofErr w:type="spellEnd"/>
      <w:r w:rsidRPr="00021387">
        <w:rPr>
          <w:i/>
          <w:sz w:val="24"/>
          <w:szCs w:val="24"/>
        </w:rPr>
        <w:t xml:space="preserve"> v. George Washington Univ</w:t>
      </w:r>
      <w:r w:rsidRPr="00423A39">
        <w:rPr>
          <w:sz w:val="24"/>
          <w:szCs w:val="24"/>
        </w:rPr>
        <w:t xml:space="preserve">., 94 F.R.D. 648, 650 (D.D.C.1982) (“The fact that a defendant anticipates the contingency of litigation resulting from an accident or an event does not automatically qualify an ‘in house’ report as work product.”).  The document “must be prepared because of” the prospect of litigation.  </w:t>
      </w:r>
      <w:r w:rsidRPr="00021387">
        <w:rPr>
          <w:i/>
          <w:sz w:val="24"/>
          <w:szCs w:val="24"/>
        </w:rPr>
        <w:t>National Union Fire Ins. Co. of Pittsburgh, Pa. v. Murray Sheet Metal Co., Inc.</w:t>
      </w:r>
      <w:proofErr w:type="gramStart"/>
      <w:r w:rsidRPr="00021387">
        <w:rPr>
          <w:i/>
          <w:sz w:val="24"/>
          <w:szCs w:val="24"/>
        </w:rPr>
        <w:t xml:space="preserve">,  </w:t>
      </w:r>
      <w:r w:rsidRPr="00423A39">
        <w:rPr>
          <w:sz w:val="24"/>
          <w:szCs w:val="24"/>
        </w:rPr>
        <w:t>967</w:t>
      </w:r>
      <w:proofErr w:type="gramEnd"/>
      <w:r w:rsidRPr="00423A39">
        <w:rPr>
          <w:sz w:val="24"/>
          <w:szCs w:val="24"/>
        </w:rPr>
        <w:t xml:space="preserve"> F.2d 980, 984 (4th Cir. 1992).  Documents prepared in the “ordinary course” of events are not protected by any work product privilege.  </w:t>
      </w:r>
      <w:r w:rsidRPr="00021387">
        <w:rPr>
          <w:i/>
          <w:sz w:val="24"/>
          <w:szCs w:val="24"/>
        </w:rPr>
        <w:t>Hall v. Goodwin</w:t>
      </w:r>
      <w:r w:rsidRPr="00423A39">
        <w:rPr>
          <w:sz w:val="24"/>
          <w:szCs w:val="24"/>
        </w:rPr>
        <w:t>, 1989 OK 88, 775 P.2d 291, 295.</w:t>
      </w:r>
    </w:p>
    <w:p w14:paraId="1D659AB6" w14:textId="2B5AD459" w:rsidR="00423A39" w:rsidRDefault="00423A39" w:rsidP="00E741CB">
      <w:pPr>
        <w:spacing w:line="480" w:lineRule="auto"/>
        <w:ind w:firstLine="720"/>
        <w:rPr>
          <w:sz w:val="24"/>
          <w:szCs w:val="24"/>
        </w:rPr>
      </w:pPr>
      <w:r>
        <w:rPr>
          <w:sz w:val="24"/>
          <w:szCs w:val="24"/>
        </w:rPr>
        <w:t>Also, t</w:t>
      </w:r>
      <w:r w:rsidRPr="00423A39">
        <w:rPr>
          <w:sz w:val="24"/>
          <w:szCs w:val="24"/>
        </w:rPr>
        <w:t xml:space="preserve">he burden is on the party asserting work product protection to demonstrate that the documents at issue were prepared in anticipation of litigation. </w:t>
      </w:r>
      <w:r w:rsidRPr="00021387">
        <w:rPr>
          <w:i/>
          <w:sz w:val="24"/>
          <w:szCs w:val="24"/>
        </w:rPr>
        <w:t>Peat, Marwick, Mitchell &amp; Co. v. West</w:t>
      </w:r>
      <w:r w:rsidRPr="00423A39">
        <w:rPr>
          <w:sz w:val="24"/>
          <w:szCs w:val="24"/>
        </w:rPr>
        <w:t xml:space="preserve">, 748 F.2d 540, 542 (10th Cir.1984).  “Materials assembled in the ordinary course of business or for other non-litigation purposes are not protected by the work product doctrine. The inchoate possibility, or even likely chance of litigation, does not give rise to work product.” </w:t>
      </w:r>
      <w:proofErr w:type="spellStart"/>
      <w:r w:rsidRPr="00021387">
        <w:rPr>
          <w:i/>
          <w:sz w:val="24"/>
          <w:szCs w:val="24"/>
        </w:rPr>
        <w:t>Ledgin</w:t>
      </w:r>
      <w:proofErr w:type="spellEnd"/>
      <w:r w:rsidRPr="00021387">
        <w:rPr>
          <w:i/>
          <w:sz w:val="24"/>
          <w:szCs w:val="24"/>
        </w:rPr>
        <w:t xml:space="preserve"> v. Blue Cross &amp; Blue Shield</w:t>
      </w:r>
      <w:r w:rsidRPr="00423A39">
        <w:rPr>
          <w:sz w:val="24"/>
          <w:szCs w:val="24"/>
        </w:rPr>
        <w:t>, 166 F.R.D. 496, 498 (D.Kan.1996).</w:t>
      </w:r>
    </w:p>
    <w:p w14:paraId="56913020" w14:textId="2096CB01" w:rsidR="00BC7962" w:rsidRPr="007453CC" w:rsidRDefault="00156128" w:rsidP="007453CC">
      <w:pPr>
        <w:spacing w:line="480" w:lineRule="auto"/>
        <w:jc w:val="center"/>
        <w:rPr>
          <w:b/>
          <w:i/>
          <w:sz w:val="24"/>
          <w:szCs w:val="24"/>
        </w:rPr>
      </w:pPr>
      <w:r>
        <w:rPr>
          <w:b/>
          <w:i/>
          <w:sz w:val="24"/>
          <w:szCs w:val="24"/>
        </w:rPr>
        <w:t xml:space="preserve">C. </w:t>
      </w:r>
      <w:r w:rsidR="007453CC" w:rsidRPr="007453CC">
        <w:rPr>
          <w:b/>
          <w:i/>
          <w:sz w:val="24"/>
          <w:szCs w:val="24"/>
        </w:rPr>
        <w:t>The Rule of Hall Applies as Well to Third-Party Claims</w:t>
      </w:r>
    </w:p>
    <w:p w14:paraId="10AFC0D6" w14:textId="5B94A631" w:rsidR="00F342FD" w:rsidRDefault="000C0BD2" w:rsidP="00F342FD">
      <w:pPr>
        <w:spacing w:line="480" w:lineRule="auto"/>
        <w:ind w:firstLine="720"/>
        <w:jc w:val="both"/>
        <w:rPr>
          <w:sz w:val="24"/>
          <w:szCs w:val="24"/>
        </w:rPr>
      </w:pPr>
      <w:r>
        <w:rPr>
          <w:sz w:val="24"/>
          <w:szCs w:val="24"/>
        </w:rPr>
        <w:t xml:space="preserve">Defendant will likely note that </w:t>
      </w:r>
      <w:r>
        <w:rPr>
          <w:i/>
          <w:sz w:val="24"/>
          <w:szCs w:val="24"/>
        </w:rPr>
        <w:t>Hall</w:t>
      </w:r>
      <w:r>
        <w:rPr>
          <w:sz w:val="24"/>
          <w:szCs w:val="24"/>
        </w:rPr>
        <w:t xml:space="preserve"> was a first-party coverage claim and that that makes a difference. Well-reasoned decisions </w:t>
      </w:r>
      <w:r w:rsidR="003949BE">
        <w:rPr>
          <w:sz w:val="24"/>
          <w:szCs w:val="24"/>
        </w:rPr>
        <w:t xml:space="preserve">show that is a distinction without a difference. For instance, the Colorado Supreme Court holds, in </w:t>
      </w:r>
      <w:r w:rsidR="003949BE">
        <w:rPr>
          <w:i/>
          <w:sz w:val="24"/>
          <w:szCs w:val="24"/>
        </w:rPr>
        <w:t xml:space="preserve">Lazar v. Riggs, </w:t>
      </w:r>
      <w:r w:rsidR="004E4D06">
        <w:rPr>
          <w:sz w:val="24"/>
          <w:szCs w:val="24"/>
        </w:rPr>
        <w:t>79 P.3d 105 (Colo. 2003)</w:t>
      </w:r>
      <w:r w:rsidR="005516D8">
        <w:rPr>
          <w:sz w:val="24"/>
          <w:szCs w:val="24"/>
        </w:rPr>
        <w:t xml:space="preserve"> the privilege is </w:t>
      </w:r>
      <w:r w:rsidR="005516D8">
        <w:rPr>
          <w:sz w:val="24"/>
          <w:szCs w:val="24"/>
        </w:rPr>
        <w:lastRenderedPageBreak/>
        <w:t xml:space="preserve">not bright line in third-party claims, but still must be assessed with respect to the </w:t>
      </w:r>
      <w:proofErr w:type="gramStart"/>
      <w:r w:rsidR="005516D8">
        <w:rPr>
          <w:sz w:val="24"/>
          <w:szCs w:val="24"/>
        </w:rPr>
        <w:t>particular production</w:t>
      </w:r>
      <w:proofErr w:type="gramEnd"/>
      <w:r w:rsidR="005516D8">
        <w:rPr>
          <w:sz w:val="24"/>
          <w:szCs w:val="24"/>
        </w:rPr>
        <w:t xml:space="preserve"> sought</w:t>
      </w:r>
      <w:r w:rsidR="00F342FD">
        <w:rPr>
          <w:sz w:val="24"/>
          <w:szCs w:val="24"/>
        </w:rPr>
        <w:t>:</w:t>
      </w:r>
    </w:p>
    <w:p w14:paraId="6F790291" w14:textId="178EDA39" w:rsidR="00DA3281" w:rsidRDefault="00370F8E" w:rsidP="00A65352">
      <w:pPr>
        <w:ind w:left="720" w:firstLine="60"/>
        <w:jc w:val="both"/>
        <w:rPr>
          <w:sz w:val="24"/>
          <w:szCs w:val="24"/>
        </w:rPr>
      </w:pPr>
      <w:r w:rsidRPr="00370F8E">
        <w:rPr>
          <w:sz w:val="24"/>
          <w:szCs w:val="24"/>
        </w:rPr>
        <w:t>Where an insurance contract includes a right and duty to defend (as it typically does), in addition to an obligation to investigate and settle claims arising under the policy, an insurance company's investigation of third-party claims may very well "shift from an ordinary business activity to conduct in anticipation of litigation."</w:t>
      </w:r>
      <w:r w:rsidR="00F342FD">
        <w:rPr>
          <w:sz w:val="24"/>
          <w:szCs w:val="24"/>
        </w:rPr>
        <w:t>[citation omitted]</w:t>
      </w:r>
      <w:r w:rsidRPr="00370F8E">
        <w:rPr>
          <w:sz w:val="24"/>
          <w:szCs w:val="24"/>
        </w:rPr>
        <w:t xml:space="preserve"> Because there is no bright line between these two activities in all cases, however, the nature of the document in question and the factual situation in the individual case must always be considered. As we held in Hawkins, it is the burden of the insurance company resisting disclosure to demonstrate that the documents in question were prepared </w:t>
      </w:r>
      <w:proofErr w:type="gramStart"/>
      <w:r w:rsidRPr="00370F8E">
        <w:rPr>
          <w:sz w:val="24"/>
          <w:szCs w:val="24"/>
        </w:rPr>
        <w:t>in order to</w:t>
      </w:r>
      <w:proofErr w:type="gramEnd"/>
      <w:r w:rsidRPr="00370F8E">
        <w:rPr>
          <w:sz w:val="24"/>
          <w:szCs w:val="24"/>
        </w:rPr>
        <w:t xml:space="preserve"> defend against a specific claim and that a lawsuit over that claim had already been filed or was imminent. Merely demonstrating that a claims adjuster </w:t>
      </w:r>
      <w:proofErr w:type="gramStart"/>
      <w:r w:rsidRPr="00370F8E">
        <w:rPr>
          <w:sz w:val="24"/>
          <w:szCs w:val="24"/>
        </w:rPr>
        <w:t>conducted an investigation</w:t>
      </w:r>
      <w:proofErr w:type="gramEnd"/>
      <w:r w:rsidRPr="00370F8E">
        <w:rPr>
          <w:sz w:val="24"/>
          <w:szCs w:val="24"/>
        </w:rPr>
        <w:t xml:space="preserve"> to determine whether a claim falls within its insured's coverage is no more sufficient to demonstrate preparation in anticipation of litigation when the claim is made by a third party than when it is the claim of an insured himself.</w:t>
      </w:r>
      <w:r w:rsidR="00F36109">
        <w:rPr>
          <w:sz w:val="24"/>
          <w:szCs w:val="24"/>
        </w:rPr>
        <w:t xml:space="preserve"> </w:t>
      </w:r>
      <w:r w:rsidR="00F36109">
        <w:rPr>
          <w:i/>
          <w:sz w:val="24"/>
          <w:szCs w:val="24"/>
        </w:rPr>
        <w:t xml:space="preserve">Lazar, </w:t>
      </w:r>
      <w:r w:rsidR="00F36109">
        <w:rPr>
          <w:sz w:val="24"/>
          <w:szCs w:val="24"/>
        </w:rPr>
        <w:t>79 P.3d at</w:t>
      </w:r>
      <w:r w:rsidR="00681046">
        <w:rPr>
          <w:sz w:val="24"/>
          <w:szCs w:val="24"/>
        </w:rPr>
        <w:t xml:space="preserve"> 108.</w:t>
      </w:r>
    </w:p>
    <w:p w14:paraId="5E566ADD" w14:textId="77777777" w:rsidR="00A65352" w:rsidRDefault="00A65352" w:rsidP="00A65352">
      <w:pPr>
        <w:ind w:left="720" w:firstLine="60"/>
        <w:jc w:val="both"/>
        <w:rPr>
          <w:sz w:val="24"/>
          <w:szCs w:val="24"/>
        </w:rPr>
      </w:pPr>
    </w:p>
    <w:p w14:paraId="268FD26F" w14:textId="3A49C286" w:rsidR="004E4D06" w:rsidRPr="004E4D06" w:rsidRDefault="00156128" w:rsidP="004E23CD">
      <w:pPr>
        <w:spacing w:line="480" w:lineRule="auto"/>
        <w:jc w:val="center"/>
        <w:rPr>
          <w:b/>
          <w:i/>
          <w:sz w:val="24"/>
          <w:szCs w:val="24"/>
        </w:rPr>
      </w:pPr>
      <w:r>
        <w:rPr>
          <w:b/>
          <w:i/>
          <w:sz w:val="24"/>
          <w:szCs w:val="24"/>
        </w:rPr>
        <w:t xml:space="preserve">D. </w:t>
      </w:r>
      <w:r w:rsidR="004E4D06">
        <w:rPr>
          <w:b/>
          <w:i/>
          <w:sz w:val="24"/>
          <w:szCs w:val="24"/>
        </w:rPr>
        <w:t>The Recorded Conversations Here Sought Do Not Qualify for the Suggested Privileges</w:t>
      </w:r>
    </w:p>
    <w:p w14:paraId="0B2560DB" w14:textId="42C2B652" w:rsidR="004E23CD" w:rsidRPr="00E44FB3" w:rsidRDefault="004E23CD" w:rsidP="00E741CB">
      <w:pPr>
        <w:spacing w:line="480" w:lineRule="auto"/>
        <w:ind w:firstLine="720"/>
        <w:rPr>
          <w:sz w:val="24"/>
          <w:szCs w:val="24"/>
        </w:rPr>
      </w:pPr>
      <w:r>
        <w:rPr>
          <w:sz w:val="24"/>
          <w:szCs w:val="24"/>
        </w:rPr>
        <w:t xml:space="preserve">Plaintiff </w:t>
      </w:r>
      <w:r w:rsidR="00E71796">
        <w:rPr>
          <w:sz w:val="24"/>
          <w:szCs w:val="24"/>
        </w:rPr>
        <w:t xml:space="preserve">does not </w:t>
      </w:r>
      <w:r>
        <w:rPr>
          <w:sz w:val="24"/>
          <w:szCs w:val="24"/>
        </w:rPr>
        <w:t xml:space="preserve">seek recordings of conversations between Geico </w:t>
      </w:r>
      <w:r w:rsidRPr="00642D32">
        <w:rPr>
          <w:i/>
          <w:sz w:val="24"/>
          <w:szCs w:val="24"/>
        </w:rPr>
        <w:t>and its own insured</w:t>
      </w:r>
      <w:r w:rsidR="00495580">
        <w:rPr>
          <w:sz w:val="24"/>
          <w:szCs w:val="24"/>
        </w:rPr>
        <w:t xml:space="preserve"> (though Mr. </w:t>
      </w:r>
      <w:r w:rsidR="008F525A">
        <w:rPr>
          <w:sz w:val="24"/>
          <w:szCs w:val="24"/>
        </w:rPr>
        <w:t>Doe</w:t>
      </w:r>
      <w:r w:rsidR="00495580">
        <w:rPr>
          <w:sz w:val="24"/>
          <w:szCs w:val="24"/>
        </w:rPr>
        <w:t xml:space="preserve"> is also insured by Geico, the requested statements were given to the liability adjusters for Defendant’s Geico coverage).</w:t>
      </w:r>
      <w:r w:rsidR="00E44FB3">
        <w:rPr>
          <w:sz w:val="24"/>
          <w:szCs w:val="24"/>
        </w:rPr>
        <w:t xml:space="preserve"> Plaintiff </w:t>
      </w:r>
      <w:r w:rsidR="00642D32">
        <w:rPr>
          <w:sz w:val="24"/>
          <w:szCs w:val="24"/>
        </w:rPr>
        <w:t xml:space="preserve">instead </w:t>
      </w:r>
      <w:r w:rsidR="00E44FB3">
        <w:rPr>
          <w:sz w:val="24"/>
          <w:szCs w:val="24"/>
        </w:rPr>
        <w:t xml:space="preserve">seeks the recordings of his own conversations with the Geico adjusters. </w:t>
      </w:r>
      <w:r w:rsidR="008C12C8">
        <w:rPr>
          <w:sz w:val="24"/>
          <w:szCs w:val="24"/>
        </w:rPr>
        <w:t>T</w:t>
      </w:r>
      <w:r w:rsidR="00E44FB3">
        <w:rPr>
          <w:sz w:val="24"/>
          <w:szCs w:val="24"/>
        </w:rPr>
        <w:t xml:space="preserve">he dissent in </w:t>
      </w:r>
      <w:r w:rsidR="00E44FB3">
        <w:rPr>
          <w:i/>
          <w:sz w:val="24"/>
          <w:szCs w:val="24"/>
        </w:rPr>
        <w:t>Lazar,</w:t>
      </w:r>
      <w:r w:rsidR="00E44FB3">
        <w:rPr>
          <w:sz w:val="24"/>
          <w:szCs w:val="24"/>
        </w:rPr>
        <w:t xml:space="preserve"> </w:t>
      </w:r>
      <w:r w:rsidR="008C12C8">
        <w:rPr>
          <w:sz w:val="24"/>
          <w:szCs w:val="24"/>
        </w:rPr>
        <w:t xml:space="preserve">was concerned that the threat of potential disclosure of conversations </w:t>
      </w:r>
      <w:r w:rsidR="008C12C8" w:rsidRPr="00CF6EC6">
        <w:rPr>
          <w:i/>
          <w:sz w:val="24"/>
          <w:szCs w:val="24"/>
        </w:rPr>
        <w:t xml:space="preserve">between a defendant and his or her </w:t>
      </w:r>
      <w:r w:rsidR="00CF6EC6">
        <w:rPr>
          <w:i/>
          <w:sz w:val="24"/>
          <w:szCs w:val="24"/>
        </w:rPr>
        <w:t xml:space="preserve">own </w:t>
      </w:r>
      <w:r w:rsidR="008C12C8" w:rsidRPr="00CF6EC6">
        <w:rPr>
          <w:i/>
          <w:sz w:val="24"/>
          <w:szCs w:val="24"/>
        </w:rPr>
        <w:t>insurance company</w:t>
      </w:r>
      <w:r w:rsidR="008C12C8">
        <w:rPr>
          <w:sz w:val="24"/>
          <w:szCs w:val="24"/>
        </w:rPr>
        <w:t xml:space="preserve">, </w:t>
      </w:r>
      <w:r w:rsidR="00CF6EC6">
        <w:rPr>
          <w:sz w:val="24"/>
          <w:szCs w:val="24"/>
        </w:rPr>
        <w:t xml:space="preserve">might have a chilling effect on the information gathering process. That concern does not apply to the disclosure of Mr. </w:t>
      </w:r>
      <w:r w:rsidR="008F525A">
        <w:rPr>
          <w:sz w:val="24"/>
          <w:szCs w:val="24"/>
        </w:rPr>
        <w:t>Doe</w:t>
      </w:r>
      <w:r w:rsidR="00CF6EC6">
        <w:rPr>
          <w:sz w:val="24"/>
          <w:szCs w:val="24"/>
        </w:rPr>
        <w:t>’s own conversations with the liability adjusters</w:t>
      </w:r>
      <w:r w:rsidR="00022E4E">
        <w:rPr>
          <w:sz w:val="24"/>
          <w:szCs w:val="24"/>
        </w:rPr>
        <w:t>.</w:t>
      </w:r>
      <w:r w:rsidR="00E71796">
        <w:rPr>
          <w:sz w:val="24"/>
          <w:szCs w:val="24"/>
        </w:rPr>
        <w:t xml:space="preserve"> </w:t>
      </w:r>
      <w:r w:rsidR="00197657">
        <w:rPr>
          <w:sz w:val="24"/>
          <w:szCs w:val="24"/>
        </w:rPr>
        <w:t xml:space="preserve">Indeed, by statute, </w:t>
      </w:r>
      <w:r w:rsidR="00E71796">
        <w:rPr>
          <w:sz w:val="24"/>
          <w:szCs w:val="24"/>
        </w:rPr>
        <w:t xml:space="preserve">Geico has no </w:t>
      </w:r>
      <w:r w:rsidR="00197657">
        <w:rPr>
          <w:sz w:val="24"/>
          <w:szCs w:val="24"/>
        </w:rPr>
        <w:t>privilege with respect to the telephone conversations</w:t>
      </w:r>
      <w:r w:rsidR="00156128">
        <w:rPr>
          <w:sz w:val="24"/>
          <w:szCs w:val="24"/>
        </w:rPr>
        <w:t xml:space="preserve"> (see 12 O.S. § 3226(B)(3)(c), above)</w:t>
      </w:r>
      <w:r w:rsidR="00E71796">
        <w:rPr>
          <w:sz w:val="24"/>
          <w:szCs w:val="24"/>
        </w:rPr>
        <w:t>.</w:t>
      </w:r>
      <w:r w:rsidR="00022E4E">
        <w:rPr>
          <w:sz w:val="24"/>
          <w:szCs w:val="24"/>
        </w:rPr>
        <w:t xml:space="preserve"> </w:t>
      </w:r>
    </w:p>
    <w:p w14:paraId="6F224E74" w14:textId="69A20207" w:rsidR="005010E5" w:rsidRDefault="005A7D84" w:rsidP="005010E5">
      <w:pPr>
        <w:spacing w:line="480" w:lineRule="auto"/>
        <w:ind w:firstLine="720"/>
        <w:rPr>
          <w:sz w:val="24"/>
          <w:szCs w:val="24"/>
        </w:rPr>
      </w:pPr>
      <w:r>
        <w:rPr>
          <w:sz w:val="24"/>
          <w:szCs w:val="24"/>
        </w:rPr>
        <w:t xml:space="preserve">Here, the recorded conversations were </w:t>
      </w:r>
      <w:r w:rsidR="000C40E4">
        <w:rPr>
          <w:sz w:val="24"/>
          <w:szCs w:val="24"/>
        </w:rPr>
        <w:t>made</w:t>
      </w:r>
      <w:r>
        <w:rPr>
          <w:sz w:val="24"/>
          <w:szCs w:val="24"/>
        </w:rPr>
        <w:t xml:space="preserve"> by Geico’s adjusters, in the early aftermath of the MVA, and in the normal course of Geico’s claims handling process. They were not made </w:t>
      </w:r>
      <w:r>
        <w:rPr>
          <w:sz w:val="24"/>
          <w:szCs w:val="24"/>
        </w:rPr>
        <w:lastRenderedPageBreak/>
        <w:t>in anticipation of litigation</w:t>
      </w:r>
      <w:r w:rsidR="00616765">
        <w:rPr>
          <w:sz w:val="24"/>
          <w:szCs w:val="24"/>
        </w:rPr>
        <w:t xml:space="preserve">. </w:t>
      </w:r>
      <w:r>
        <w:rPr>
          <w:sz w:val="24"/>
          <w:szCs w:val="24"/>
        </w:rPr>
        <w:t xml:space="preserve">That this is so is confirmed by the very subject of the conversations: namely that Mr. </w:t>
      </w:r>
      <w:r w:rsidR="008F525A">
        <w:rPr>
          <w:sz w:val="24"/>
          <w:szCs w:val="24"/>
        </w:rPr>
        <w:t>Doe</w:t>
      </w:r>
      <w:r>
        <w:rPr>
          <w:sz w:val="24"/>
          <w:szCs w:val="24"/>
        </w:rPr>
        <w:t xml:space="preserve"> should </w:t>
      </w:r>
      <w:r>
        <w:rPr>
          <w:i/>
          <w:sz w:val="24"/>
          <w:szCs w:val="24"/>
        </w:rPr>
        <w:t xml:space="preserve">not </w:t>
      </w:r>
      <w:r>
        <w:rPr>
          <w:sz w:val="24"/>
          <w:szCs w:val="24"/>
        </w:rPr>
        <w:t xml:space="preserve">get medical treatment, because </w:t>
      </w:r>
      <w:r>
        <w:rPr>
          <w:i/>
          <w:sz w:val="24"/>
          <w:szCs w:val="24"/>
        </w:rPr>
        <w:t>no attorney would ever litigate this case against the Geico insured.</w:t>
      </w:r>
      <w:r>
        <w:rPr>
          <w:sz w:val="24"/>
          <w:szCs w:val="24"/>
        </w:rPr>
        <w:t xml:space="preserve"> </w:t>
      </w:r>
      <w:r w:rsidR="00616765">
        <w:rPr>
          <w:sz w:val="24"/>
          <w:szCs w:val="24"/>
        </w:rPr>
        <w:t>And even if litigation was anticipated—</w:t>
      </w:r>
      <w:r w:rsidR="00616765" w:rsidRPr="00616765">
        <w:rPr>
          <w:i/>
          <w:sz w:val="24"/>
          <w:szCs w:val="24"/>
        </w:rPr>
        <w:t>these privileges do not allow Geico to withhold a statement from a party to the statement</w:t>
      </w:r>
      <w:r w:rsidR="00616765">
        <w:rPr>
          <w:sz w:val="24"/>
          <w:szCs w:val="24"/>
        </w:rPr>
        <w:t xml:space="preserve">. </w:t>
      </w:r>
      <w:r w:rsidR="004B32C1">
        <w:rPr>
          <w:sz w:val="24"/>
          <w:szCs w:val="24"/>
        </w:rPr>
        <w:t xml:space="preserve">Geico should not be allowed to </w:t>
      </w:r>
      <w:r w:rsidR="00DA3281">
        <w:rPr>
          <w:sz w:val="24"/>
          <w:szCs w:val="24"/>
        </w:rPr>
        <w:t>wield</w:t>
      </w:r>
      <w:r w:rsidR="00616765">
        <w:rPr>
          <w:sz w:val="24"/>
          <w:szCs w:val="24"/>
        </w:rPr>
        <w:t xml:space="preserve"> these </w:t>
      </w:r>
      <w:r w:rsidR="004B32C1">
        <w:rPr>
          <w:sz w:val="24"/>
          <w:szCs w:val="24"/>
        </w:rPr>
        <w:t>legitimate privilege</w:t>
      </w:r>
      <w:r w:rsidR="00FE2FF2">
        <w:rPr>
          <w:sz w:val="24"/>
          <w:szCs w:val="24"/>
        </w:rPr>
        <w:t>s</w:t>
      </w:r>
      <w:r w:rsidR="004B32C1">
        <w:rPr>
          <w:sz w:val="24"/>
          <w:szCs w:val="24"/>
        </w:rPr>
        <w:t xml:space="preserve"> to </w:t>
      </w:r>
      <w:r w:rsidR="00FE2FF2">
        <w:rPr>
          <w:sz w:val="24"/>
          <w:szCs w:val="24"/>
        </w:rPr>
        <w:t>shield</w:t>
      </w:r>
      <w:r w:rsidR="00616765">
        <w:rPr>
          <w:sz w:val="24"/>
          <w:szCs w:val="24"/>
        </w:rPr>
        <w:t xml:space="preserve"> </w:t>
      </w:r>
      <w:r w:rsidR="004B32C1">
        <w:rPr>
          <w:sz w:val="24"/>
          <w:szCs w:val="24"/>
        </w:rPr>
        <w:t>outrage</w:t>
      </w:r>
      <w:r w:rsidR="00642D32">
        <w:rPr>
          <w:sz w:val="24"/>
          <w:szCs w:val="24"/>
        </w:rPr>
        <w:t>ous conduct</w:t>
      </w:r>
      <w:r w:rsidR="004B32C1">
        <w:rPr>
          <w:sz w:val="24"/>
          <w:szCs w:val="24"/>
        </w:rPr>
        <w:t>.</w:t>
      </w:r>
      <w:r w:rsidR="00FE2FF2">
        <w:rPr>
          <w:sz w:val="24"/>
          <w:szCs w:val="24"/>
        </w:rPr>
        <w:t xml:space="preserve"> Plaintiff requests an </w:t>
      </w:r>
      <w:r w:rsidR="00CF4E78">
        <w:rPr>
          <w:sz w:val="24"/>
          <w:szCs w:val="24"/>
        </w:rPr>
        <w:t>o</w:t>
      </w:r>
      <w:r w:rsidR="00FE2FF2">
        <w:rPr>
          <w:sz w:val="24"/>
          <w:szCs w:val="24"/>
        </w:rPr>
        <w:t>rder compelling Defendant</w:t>
      </w:r>
      <w:r w:rsidR="00CF4E78">
        <w:rPr>
          <w:sz w:val="24"/>
          <w:szCs w:val="24"/>
        </w:rPr>
        <w:t>,</w:t>
      </w:r>
      <w:r w:rsidR="00FE2FF2">
        <w:rPr>
          <w:sz w:val="24"/>
          <w:szCs w:val="24"/>
        </w:rPr>
        <w:t xml:space="preserve"> and Geico</w:t>
      </w:r>
      <w:r w:rsidR="00CF4E78">
        <w:rPr>
          <w:sz w:val="24"/>
          <w:szCs w:val="24"/>
        </w:rPr>
        <w:t>,</w:t>
      </w:r>
      <w:r w:rsidR="00FE2FF2">
        <w:rPr>
          <w:sz w:val="24"/>
          <w:szCs w:val="24"/>
        </w:rPr>
        <w:t xml:space="preserve"> to produce the recorded conversations between Mr. </w:t>
      </w:r>
      <w:r w:rsidR="008F525A">
        <w:rPr>
          <w:sz w:val="24"/>
          <w:szCs w:val="24"/>
        </w:rPr>
        <w:t>Doe</w:t>
      </w:r>
      <w:r w:rsidR="00FE2FF2">
        <w:rPr>
          <w:sz w:val="24"/>
          <w:szCs w:val="24"/>
        </w:rPr>
        <w:t xml:space="preserve"> and </w:t>
      </w:r>
      <w:r w:rsidR="00333636">
        <w:rPr>
          <w:sz w:val="24"/>
          <w:szCs w:val="24"/>
        </w:rPr>
        <w:t xml:space="preserve">the Geico adjusters. </w:t>
      </w:r>
    </w:p>
    <w:p w14:paraId="00577A71" w14:textId="25327A77" w:rsidR="005010E5" w:rsidRPr="005010E5" w:rsidRDefault="005010E5" w:rsidP="00F739A5">
      <w:pPr>
        <w:spacing w:line="480" w:lineRule="auto"/>
        <w:jc w:val="center"/>
        <w:rPr>
          <w:b/>
          <w:i/>
          <w:sz w:val="24"/>
          <w:szCs w:val="24"/>
        </w:rPr>
      </w:pPr>
      <w:r>
        <w:rPr>
          <w:b/>
          <w:i/>
          <w:sz w:val="24"/>
          <w:szCs w:val="24"/>
        </w:rPr>
        <w:t>E. Plaintiff is Entitled to Costs and Fee Associated with this Motion</w:t>
      </w:r>
    </w:p>
    <w:p w14:paraId="572F8FEE" w14:textId="5A523A7D" w:rsidR="00F739A5" w:rsidRDefault="00F739A5" w:rsidP="005010E5">
      <w:pPr>
        <w:spacing w:line="480" w:lineRule="auto"/>
        <w:ind w:firstLine="720"/>
        <w:rPr>
          <w:sz w:val="24"/>
          <w:szCs w:val="24"/>
        </w:rPr>
      </w:pPr>
      <w:r>
        <w:rPr>
          <w:sz w:val="24"/>
          <w:szCs w:val="24"/>
        </w:rPr>
        <w:t>Plaintiff should not have had to spend the time, money, and effort making this motion to compel Defendant and Geico to obey the plain language of the Discovery Code. Indeed, 12 O.S. § 3226(B)(3)(c) mandates an award of costs and fee:</w:t>
      </w:r>
    </w:p>
    <w:p w14:paraId="1F9AC6CC" w14:textId="286D32C5" w:rsidR="007007F7" w:rsidRDefault="007007F7" w:rsidP="007007F7">
      <w:pPr>
        <w:ind w:left="720"/>
        <w:rPr>
          <w:sz w:val="24"/>
          <w:szCs w:val="24"/>
        </w:rPr>
      </w:pPr>
      <w:r w:rsidRPr="007007F7">
        <w:rPr>
          <w:sz w:val="24"/>
          <w:szCs w:val="24"/>
        </w:rPr>
        <w:t>If the request is refused, the person may move for a court order, and the provisions of paragraph 4 of subsection A of Section 3237 of this title apply to the award of expenses</w:t>
      </w:r>
    </w:p>
    <w:p w14:paraId="004174E1" w14:textId="77777777" w:rsidR="007007F7" w:rsidRDefault="007007F7" w:rsidP="007007F7">
      <w:pPr>
        <w:ind w:left="720"/>
        <w:rPr>
          <w:sz w:val="24"/>
          <w:szCs w:val="24"/>
        </w:rPr>
      </w:pPr>
    </w:p>
    <w:p w14:paraId="2B1E642E" w14:textId="34C324FB" w:rsidR="00E741CB" w:rsidRDefault="00333636" w:rsidP="005010E5">
      <w:pPr>
        <w:spacing w:line="480" w:lineRule="auto"/>
        <w:ind w:firstLine="720"/>
        <w:rPr>
          <w:sz w:val="24"/>
          <w:szCs w:val="24"/>
        </w:rPr>
      </w:pPr>
      <w:r>
        <w:rPr>
          <w:sz w:val="24"/>
          <w:szCs w:val="24"/>
        </w:rPr>
        <w:t xml:space="preserve">Geico should be made to pay the cost and attorney fee associated with the filing </w:t>
      </w:r>
      <w:r w:rsidR="00CF4E78">
        <w:rPr>
          <w:sz w:val="24"/>
          <w:szCs w:val="24"/>
        </w:rPr>
        <w:t xml:space="preserve">and presentation </w:t>
      </w:r>
      <w:r>
        <w:rPr>
          <w:sz w:val="24"/>
          <w:szCs w:val="24"/>
        </w:rPr>
        <w:t>of this motion.</w:t>
      </w:r>
    </w:p>
    <w:p w14:paraId="263987C5" w14:textId="77777777" w:rsidR="00805A43" w:rsidRPr="00334906" w:rsidRDefault="00805A43" w:rsidP="005A2FA5">
      <w:pPr>
        <w:rPr>
          <w:sz w:val="24"/>
          <w:szCs w:val="24"/>
        </w:rPr>
      </w:pPr>
    </w:p>
    <w:p w14:paraId="4804994D" w14:textId="24D68CA4" w:rsidR="00153738" w:rsidRDefault="005A2FA5" w:rsidP="005A2FA5">
      <w:pPr>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00153738">
        <w:rPr>
          <w:sz w:val="24"/>
          <w:szCs w:val="24"/>
        </w:rPr>
        <w:t>Respectfully,</w:t>
      </w:r>
    </w:p>
    <w:p w14:paraId="00D477F0" w14:textId="2982DFBC" w:rsidR="005A2FA5" w:rsidRPr="00334906" w:rsidRDefault="00153738" w:rsidP="005A2FA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5A2FA5" w:rsidRPr="00334906">
        <w:rPr>
          <w:sz w:val="24"/>
          <w:szCs w:val="24"/>
        </w:rPr>
        <w:tab/>
      </w:r>
      <w:r w:rsidR="00080438" w:rsidRPr="00334906">
        <w:rPr>
          <w:sz w:val="24"/>
          <w:szCs w:val="24"/>
        </w:rPr>
        <w:tab/>
      </w:r>
      <w:r w:rsidR="005A2FA5" w:rsidRPr="00334906">
        <w:rPr>
          <w:sz w:val="24"/>
          <w:szCs w:val="24"/>
        </w:rPr>
        <w:t>_______________________________</w:t>
      </w:r>
    </w:p>
    <w:p w14:paraId="7209D0D5" w14:textId="77777777" w:rsidR="005A2FA5" w:rsidRPr="00334906" w:rsidRDefault="005A2FA5" w:rsidP="005A2FA5">
      <w:pPr>
        <w:tabs>
          <w:tab w:val="left" w:pos="720"/>
          <w:tab w:val="left" w:pos="1440"/>
          <w:tab w:val="left" w:pos="2160"/>
          <w:tab w:val="left" w:pos="2880"/>
          <w:tab w:val="left" w:pos="3600"/>
        </w:tabs>
        <w:ind w:hanging="3600"/>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PAUL KOURI, OBA# 20751</w:t>
      </w:r>
    </w:p>
    <w:p w14:paraId="7D9D6061" w14:textId="77777777" w:rsidR="005A2FA5" w:rsidRPr="00334906" w:rsidRDefault="005A2FA5" w:rsidP="005A2FA5">
      <w:pPr>
        <w:tabs>
          <w:tab w:val="left" w:pos="720"/>
          <w:tab w:val="left" w:pos="1440"/>
        </w:tabs>
        <w:ind w:hanging="1440"/>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11221 E I 240 Service Rd</w:t>
      </w:r>
    </w:p>
    <w:p w14:paraId="19876F4A" w14:textId="77777777" w:rsidR="005A2FA5" w:rsidRPr="00334906" w:rsidRDefault="005A2FA5" w:rsidP="005A2FA5">
      <w:pPr>
        <w:tabs>
          <w:tab w:val="left" w:pos="720"/>
          <w:tab w:val="left" w:pos="1440"/>
          <w:tab w:val="left" w:pos="2160"/>
          <w:tab w:val="left" w:pos="2880"/>
          <w:tab w:val="left" w:pos="3600"/>
        </w:tabs>
        <w:ind w:hanging="3600"/>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Oklahoma City, OK 73150</w:t>
      </w:r>
    </w:p>
    <w:p w14:paraId="7BC51BB5" w14:textId="620C378C" w:rsidR="005A2FA5" w:rsidRDefault="005A2FA5" w:rsidP="005A2FA5">
      <w:pPr>
        <w:tabs>
          <w:tab w:val="left" w:pos="720"/>
          <w:tab w:val="left" w:pos="1440"/>
        </w:tabs>
        <w:ind w:hanging="1440"/>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Telephone: (405) 347-7140</w:t>
      </w:r>
    </w:p>
    <w:p w14:paraId="09BBEB6D" w14:textId="6819B4EC" w:rsidR="00153738" w:rsidRPr="00334906" w:rsidRDefault="00153738" w:rsidP="005A2FA5">
      <w:pPr>
        <w:tabs>
          <w:tab w:val="left" w:pos="720"/>
          <w:tab w:val="left" w:pos="1440"/>
        </w:tabs>
        <w:ind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Facsimile: (800) 590-1966</w:t>
      </w:r>
    </w:p>
    <w:p w14:paraId="53C4E6F0" w14:textId="77777777" w:rsidR="005A2FA5" w:rsidRPr="00334906" w:rsidRDefault="005A2FA5" w:rsidP="005A2FA5">
      <w:pPr>
        <w:tabs>
          <w:tab w:val="left" w:pos="720"/>
          <w:tab w:val="left" w:pos="1440"/>
          <w:tab w:val="left" w:pos="2160"/>
          <w:tab w:val="left" w:pos="2880"/>
          <w:tab w:val="left" w:pos="3600"/>
        </w:tabs>
        <w:ind w:hanging="3600"/>
        <w:rPr>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t>paul@paulkourilaw.com</w:t>
      </w:r>
    </w:p>
    <w:p w14:paraId="43DC6C84" w14:textId="7DB60BFE" w:rsidR="005A2FA5" w:rsidRPr="000727B3" w:rsidRDefault="005A2FA5" w:rsidP="005A2FA5">
      <w:pPr>
        <w:tabs>
          <w:tab w:val="left" w:pos="720"/>
          <w:tab w:val="left" w:pos="1440"/>
          <w:tab w:val="left" w:pos="2160"/>
          <w:tab w:val="left" w:pos="2880"/>
          <w:tab w:val="left" w:pos="3600"/>
        </w:tabs>
        <w:ind w:hanging="3600"/>
        <w:rPr>
          <w:b/>
          <w:sz w:val="24"/>
          <w:szCs w:val="24"/>
        </w:rPr>
      </w:pP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334906">
        <w:rPr>
          <w:sz w:val="24"/>
          <w:szCs w:val="24"/>
        </w:rPr>
        <w:tab/>
      </w:r>
      <w:r w:rsidRPr="000727B3">
        <w:rPr>
          <w:b/>
          <w:sz w:val="24"/>
          <w:szCs w:val="24"/>
        </w:rPr>
        <w:t>Attorney for Plaintiff</w:t>
      </w:r>
    </w:p>
    <w:p w14:paraId="4BF706C9" w14:textId="77777777" w:rsidR="00334906" w:rsidRPr="00334906" w:rsidRDefault="00334906" w:rsidP="005A2FA5">
      <w:pPr>
        <w:tabs>
          <w:tab w:val="left" w:pos="720"/>
          <w:tab w:val="left" w:pos="1440"/>
          <w:tab w:val="left" w:pos="2160"/>
          <w:tab w:val="left" w:pos="2880"/>
          <w:tab w:val="left" w:pos="3600"/>
        </w:tabs>
        <w:ind w:hanging="3600"/>
        <w:rPr>
          <w:sz w:val="24"/>
          <w:szCs w:val="24"/>
        </w:rPr>
      </w:pPr>
    </w:p>
    <w:p w14:paraId="7FC4042B" w14:textId="16F19DED" w:rsidR="00080438" w:rsidRPr="00334906" w:rsidRDefault="00080438" w:rsidP="005A2FA5">
      <w:pPr>
        <w:tabs>
          <w:tab w:val="left" w:pos="720"/>
          <w:tab w:val="left" w:pos="1440"/>
          <w:tab w:val="left" w:pos="2160"/>
          <w:tab w:val="left" w:pos="2880"/>
          <w:tab w:val="left" w:pos="3600"/>
        </w:tabs>
        <w:ind w:hanging="3600"/>
        <w:rPr>
          <w:sz w:val="24"/>
          <w:szCs w:val="24"/>
        </w:rPr>
      </w:pPr>
    </w:p>
    <w:p w14:paraId="1CD0890E" w14:textId="77777777" w:rsidR="00334906" w:rsidRPr="00334906" w:rsidRDefault="00334906" w:rsidP="00334906">
      <w:pPr>
        <w:keepNext/>
        <w:jc w:val="center"/>
        <w:outlineLvl w:val="1"/>
        <w:rPr>
          <w:rFonts w:eastAsiaTheme="minorEastAsia"/>
          <w:b/>
          <w:bCs/>
          <w:sz w:val="24"/>
          <w:szCs w:val="24"/>
          <w:u w:val="single"/>
        </w:rPr>
      </w:pPr>
      <w:r w:rsidRPr="00334906">
        <w:rPr>
          <w:b/>
          <w:bCs/>
          <w:sz w:val="24"/>
          <w:szCs w:val="24"/>
          <w:u w:val="single"/>
        </w:rPr>
        <w:lastRenderedPageBreak/>
        <w:t>CERTIFICATE OF SERVICE</w:t>
      </w:r>
    </w:p>
    <w:p w14:paraId="072695C3" w14:textId="77777777" w:rsidR="00334906" w:rsidRPr="00334906" w:rsidRDefault="00334906" w:rsidP="00334906">
      <w:pPr>
        <w:spacing w:line="240" w:lineRule="exact"/>
        <w:rPr>
          <w:sz w:val="24"/>
          <w:szCs w:val="24"/>
        </w:rPr>
      </w:pPr>
    </w:p>
    <w:p w14:paraId="6E4C0BBD" w14:textId="6360C057" w:rsidR="00334906" w:rsidRPr="00334906" w:rsidRDefault="00334906" w:rsidP="00334906">
      <w:pPr>
        <w:spacing w:line="240" w:lineRule="exact"/>
        <w:rPr>
          <w:sz w:val="24"/>
          <w:szCs w:val="24"/>
        </w:rPr>
      </w:pPr>
      <w:r w:rsidRPr="00334906">
        <w:rPr>
          <w:sz w:val="24"/>
          <w:szCs w:val="24"/>
        </w:rPr>
        <w:tab/>
        <w:t xml:space="preserve">This is to certify that a true and correct copy of the above and foregoing was served by </w:t>
      </w:r>
      <w:r w:rsidR="001A2544">
        <w:rPr>
          <w:sz w:val="24"/>
          <w:szCs w:val="24"/>
        </w:rPr>
        <w:t xml:space="preserve">first-class </w:t>
      </w:r>
      <w:r w:rsidRPr="00334906">
        <w:rPr>
          <w:sz w:val="24"/>
          <w:szCs w:val="24"/>
        </w:rPr>
        <w:t>mail</w:t>
      </w:r>
      <w:r w:rsidR="001A2544">
        <w:rPr>
          <w:sz w:val="24"/>
          <w:szCs w:val="24"/>
        </w:rPr>
        <w:t>, postage paid,</w:t>
      </w:r>
      <w:r w:rsidRPr="00334906">
        <w:rPr>
          <w:sz w:val="24"/>
          <w:szCs w:val="24"/>
        </w:rPr>
        <w:t xml:space="preserve"> this </w:t>
      </w:r>
      <w:r w:rsidR="001A2544">
        <w:rPr>
          <w:sz w:val="24"/>
          <w:szCs w:val="24"/>
        </w:rPr>
        <w:t>______</w:t>
      </w:r>
      <w:r w:rsidRPr="00334906">
        <w:rPr>
          <w:sz w:val="24"/>
          <w:szCs w:val="24"/>
        </w:rPr>
        <w:t xml:space="preserve"> day of </w:t>
      </w:r>
      <w:r w:rsidRPr="00334906">
        <w:rPr>
          <w:sz w:val="24"/>
          <w:szCs w:val="24"/>
        </w:rPr>
        <w:fldChar w:fldCharType="begin"/>
      </w:r>
      <w:r w:rsidRPr="00334906">
        <w:rPr>
          <w:sz w:val="24"/>
          <w:szCs w:val="24"/>
        </w:rPr>
        <w:instrText xml:space="preserve"> DATE  \@ "MMMM, YYYY"  \* MERGEFORMAT </w:instrText>
      </w:r>
      <w:r w:rsidRPr="00334906">
        <w:rPr>
          <w:sz w:val="24"/>
          <w:szCs w:val="24"/>
        </w:rPr>
        <w:fldChar w:fldCharType="separate"/>
      </w:r>
      <w:r w:rsidR="008F525A">
        <w:rPr>
          <w:noProof/>
          <w:sz w:val="24"/>
          <w:szCs w:val="24"/>
        </w:rPr>
        <w:t>May, 2018</w:t>
      </w:r>
      <w:r w:rsidRPr="00334906">
        <w:rPr>
          <w:sz w:val="24"/>
          <w:szCs w:val="24"/>
        </w:rPr>
        <w:fldChar w:fldCharType="end"/>
      </w:r>
      <w:r w:rsidRPr="00334906">
        <w:rPr>
          <w:sz w:val="24"/>
          <w:szCs w:val="24"/>
        </w:rPr>
        <w:t>, upon:</w:t>
      </w:r>
    </w:p>
    <w:p w14:paraId="766B50CF" w14:textId="77777777" w:rsidR="00334906" w:rsidRPr="00334906" w:rsidRDefault="00334906" w:rsidP="00334906">
      <w:pPr>
        <w:jc w:val="both"/>
        <w:rPr>
          <w:sz w:val="24"/>
          <w:szCs w:val="24"/>
        </w:rPr>
      </w:pPr>
    </w:p>
    <w:p w14:paraId="0E081ED9" w14:textId="77777777" w:rsidR="00334906" w:rsidRPr="00334906" w:rsidRDefault="00334906" w:rsidP="00334906">
      <w:pPr>
        <w:rPr>
          <w:sz w:val="24"/>
          <w:szCs w:val="24"/>
        </w:rPr>
      </w:pPr>
      <w:r w:rsidRPr="00334906">
        <w:rPr>
          <w:noProof/>
          <w:sz w:val="24"/>
          <w:szCs w:val="24"/>
        </w:rPr>
        <w:t>Joshua B. Bush</w:t>
      </w:r>
      <w:r w:rsidRPr="00334906">
        <w:rPr>
          <w:sz w:val="24"/>
          <w:szCs w:val="24"/>
        </w:rPr>
        <w:t xml:space="preserve">, OBA# </w:t>
      </w:r>
      <w:r w:rsidRPr="00334906">
        <w:rPr>
          <w:noProof/>
          <w:sz w:val="24"/>
          <w:szCs w:val="24"/>
        </w:rPr>
        <w:t>30508</w:t>
      </w:r>
    </w:p>
    <w:p w14:paraId="689411DE" w14:textId="77777777" w:rsidR="00334906" w:rsidRPr="00334906" w:rsidRDefault="00334906" w:rsidP="00334906">
      <w:pPr>
        <w:rPr>
          <w:b/>
          <w:sz w:val="24"/>
          <w:szCs w:val="24"/>
        </w:rPr>
      </w:pPr>
      <w:r w:rsidRPr="00334906">
        <w:rPr>
          <w:b/>
          <w:noProof/>
          <w:sz w:val="24"/>
          <w:szCs w:val="24"/>
        </w:rPr>
        <w:t>Law Office Of Michael H. Githens</w:t>
      </w:r>
    </w:p>
    <w:p w14:paraId="137E63D8" w14:textId="77777777" w:rsidR="00334906" w:rsidRPr="00334906" w:rsidRDefault="00334906" w:rsidP="00334906">
      <w:pPr>
        <w:rPr>
          <w:sz w:val="24"/>
          <w:szCs w:val="24"/>
        </w:rPr>
      </w:pPr>
      <w:r w:rsidRPr="00334906">
        <w:rPr>
          <w:noProof/>
          <w:sz w:val="24"/>
          <w:szCs w:val="24"/>
        </w:rPr>
        <w:t>2601 N.W. Expressway,Suite 712 W</w:t>
      </w:r>
    </w:p>
    <w:p w14:paraId="72C9020C" w14:textId="77777777" w:rsidR="00334906" w:rsidRPr="00334906" w:rsidRDefault="00334906" w:rsidP="00334906">
      <w:pPr>
        <w:rPr>
          <w:sz w:val="24"/>
          <w:szCs w:val="24"/>
        </w:rPr>
      </w:pPr>
      <w:r w:rsidRPr="00334906">
        <w:rPr>
          <w:noProof/>
          <w:sz w:val="24"/>
          <w:szCs w:val="24"/>
        </w:rPr>
        <w:t>Oklahoma City</w:t>
      </w:r>
      <w:r w:rsidRPr="00334906">
        <w:rPr>
          <w:sz w:val="24"/>
          <w:szCs w:val="24"/>
        </w:rPr>
        <w:t xml:space="preserve">, </w:t>
      </w:r>
      <w:r w:rsidRPr="00334906">
        <w:rPr>
          <w:noProof/>
          <w:sz w:val="24"/>
          <w:szCs w:val="24"/>
        </w:rPr>
        <w:t>OK</w:t>
      </w:r>
      <w:r w:rsidRPr="00334906">
        <w:rPr>
          <w:sz w:val="24"/>
          <w:szCs w:val="24"/>
        </w:rPr>
        <w:t xml:space="preserve">  </w:t>
      </w:r>
      <w:r w:rsidRPr="00334906">
        <w:rPr>
          <w:noProof/>
          <w:sz w:val="24"/>
          <w:szCs w:val="24"/>
        </w:rPr>
        <w:t>73112</w:t>
      </w:r>
    </w:p>
    <w:p w14:paraId="2460897C" w14:textId="77777777" w:rsidR="00334906" w:rsidRPr="00334906" w:rsidRDefault="00334906" w:rsidP="00334906">
      <w:pPr>
        <w:rPr>
          <w:sz w:val="24"/>
          <w:szCs w:val="24"/>
        </w:rPr>
      </w:pPr>
      <w:r w:rsidRPr="00334906">
        <w:rPr>
          <w:noProof/>
          <w:sz w:val="24"/>
          <w:szCs w:val="24"/>
        </w:rPr>
        <w:t>(405)242-6400</w:t>
      </w:r>
      <w:r w:rsidRPr="00334906">
        <w:rPr>
          <w:sz w:val="24"/>
          <w:szCs w:val="24"/>
        </w:rPr>
        <w:t xml:space="preserve"> - Telephone </w:t>
      </w:r>
    </w:p>
    <w:p w14:paraId="26872F18" w14:textId="77777777" w:rsidR="00334906" w:rsidRPr="00334906" w:rsidRDefault="00334906" w:rsidP="00334906">
      <w:pPr>
        <w:rPr>
          <w:sz w:val="24"/>
          <w:szCs w:val="24"/>
        </w:rPr>
      </w:pPr>
      <w:r w:rsidRPr="00334906">
        <w:rPr>
          <w:noProof/>
          <w:sz w:val="24"/>
          <w:szCs w:val="24"/>
        </w:rPr>
        <w:t>(405)242-6401</w:t>
      </w:r>
      <w:r w:rsidRPr="00334906">
        <w:rPr>
          <w:sz w:val="24"/>
          <w:szCs w:val="24"/>
        </w:rPr>
        <w:t xml:space="preserve"> - Facsimile </w:t>
      </w:r>
    </w:p>
    <w:p w14:paraId="2B26656A" w14:textId="77777777" w:rsidR="00334906" w:rsidRPr="00334906" w:rsidRDefault="00334906" w:rsidP="00334906">
      <w:pPr>
        <w:rPr>
          <w:sz w:val="24"/>
          <w:szCs w:val="24"/>
        </w:rPr>
      </w:pPr>
      <w:r w:rsidRPr="00334906">
        <w:rPr>
          <w:noProof/>
          <w:sz w:val="24"/>
          <w:szCs w:val="24"/>
        </w:rPr>
        <w:t>JoBush@geico.com</w:t>
      </w:r>
    </w:p>
    <w:p w14:paraId="7B0D6819" w14:textId="77777777" w:rsidR="00334906" w:rsidRPr="00334906" w:rsidRDefault="00334906" w:rsidP="00334906">
      <w:pPr>
        <w:rPr>
          <w:sz w:val="24"/>
          <w:szCs w:val="24"/>
        </w:rPr>
      </w:pPr>
      <w:r w:rsidRPr="00334906">
        <w:rPr>
          <w:b/>
          <w:sz w:val="24"/>
          <w:szCs w:val="24"/>
        </w:rPr>
        <w:t>Attorney for Defendant</w:t>
      </w:r>
    </w:p>
    <w:p w14:paraId="0D5D728E" w14:textId="5FADC514" w:rsidR="00334906" w:rsidRDefault="00334906" w:rsidP="00334906">
      <w:pPr>
        <w:ind w:left="5040"/>
        <w:jc w:val="both"/>
        <w:rPr>
          <w:sz w:val="24"/>
          <w:szCs w:val="24"/>
        </w:rPr>
      </w:pPr>
      <w:r w:rsidRPr="00334906">
        <w:rPr>
          <w:sz w:val="24"/>
          <w:szCs w:val="24"/>
        </w:rPr>
        <w:t>_____________________</w:t>
      </w:r>
      <w:r w:rsidRPr="00334906">
        <w:rPr>
          <w:sz w:val="24"/>
          <w:szCs w:val="24"/>
        </w:rPr>
        <w:tab/>
      </w:r>
    </w:p>
    <w:p w14:paraId="4C5F8A0E" w14:textId="4D0A93C2" w:rsidR="00334906" w:rsidRPr="00334906" w:rsidRDefault="00334906" w:rsidP="001A2544">
      <w:pPr>
        <w:ind w:left="4320" w:firstLine="720"/>
        <w:jc w:val="both"/>
        <w:rPr>
          <w:sz w:val="24"/>
          <w:szCs w:val="24"/>
        </w:rPr>
      </w:pPr>
      <w:r>
        <w:rPr>
          <w:sz w:val="24"/>
          <w:szCs w:val="24"/>
        </w:rPr>
        <w:t>Paul Kouri</w:t>
      </w:r>
      <w:r w:rsidRPr="00334906">
        <w:rPr>
          <w:sz w:val="24"/>
          <w:szCs w:val="24"/>
        </w:rPr>
        <w:tab/>
      </w:r>
      <w:r w:rsidRPr="00334906">
        <w:rPr>
          <w:sz w:val="24"/>
          <w:szCs w:val="24"/>
        </w:rPr>
        <w:tab/>
      </w:r>
      <w:r w:rsidRPr="00334906">
        <w:rPr>
          <w:sz w:val="24"/>
          <w:szCs w:val="24"/>
        </w:rPr>
        <w:tab/>
      </w:r>
    </w:p>
    <w:p w14:paraId="4E444A3D" w14:textId="77777777" w:rsidR="00080438" w:rsidRPr="00334906" w:rsidRDefault="00080438" w:rsidP="005A2FA5">
      <w:pPr>
        <w:tabs>
          <w:tab w:val="left" w:pos="720"/>
          <w:tab w:val="left" w:pos="1440"/>
          <w:tab w:val="left" w:pos="2160"/>
          <w:tab w:val="left" w:pos="2880"/>
          <w:tab w:val="left" w:pos="3600"/>
        </w:tabs>
        <w:ind w:hanging="3600"/>
        <w:rPr>
          <w:sz w:val="24"/>
          <w:szCs w:val="24"/>
        </w:rPr>
      </w:pPr>
    </w:p>
    <w:p w14:paraId="0A7A1A7A" w14:textId="5AB54411" w:rsidR="007907B7" w:rsidRPr="00334906" w:rsidRDefault="007907B7" w:rsidP="005A2FA5">
      <w:pPr>
        <w:rPr>
          <w:sz w:val="24"/>
          <w:szCs w:val="24"/>
        </w:rPr>
      </w:pPr>
    </w:p>
    <w:sectPr w:rsidR="007907B7" w:rsidRPr="00334906">
      <w:footerReference w:type="default" r:id="rId6"/>
      <w:headerReference w:type="firs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E39D" w14:textId="77777777" w:rsidR="002E7FF5" w:rsidRDefault="002E7FF5">
      <w:r>
        <w:separator/>
      </w:r>
    </w:p>
  </w:endnote>
  <w:endnote w:type="continuationSeparator" w:id="0">
    <w:p w14:paraId="388F801E" w14:textId="77777777" w:rsidR="002E7FF5" w:rsidRDefault="002E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C9EF" w14:textId="2BCE784D" w:rsidR="008C12C8" w:rsidRDefault="008C12C8">
    <w:pPr>
      <w:tabs>
        <w:tab w:val="center" w:pos="4680"/>
        <w:tab w:val="right" w:pos="9360"/>
      </w:tabs>
      <w:jc w:val="center"/>
    </w:pPr>
    <w:r>
      <w:t xml:space="preserve">Page </w:t>
    </w:r>
    <w:r>
      <w:fldChar w:fldCharType="begin"/>
    </w:r>
    <w:r>
      <w:instrText>PAGE</w:instrText>
    </w:r>
    <w:r>
      <w:fldChar w:fldCharType="separate"/>
    </w:r>
    <w:r w:rsidR="008F525A">
      <w:rPr>
        <w:noProof/>
      </w:rPr>
      <w:t>8</w:t>
    </w:r>
    <w:r>
      <w:fldChar w:fldCharType="end"/>
    </w:r>
    <w:r>
      <w:t xml:space="preserve"> of </w:t>
    </w:r>
    <w:r>
      <w:fldChar w:fldCharType="begin"/>
    </w:r>
    <w:r>
      <w:instrText>NUMPAGES</w:instrText>
    </w:r>
    <w:r>
      <w:fldChar w:fldCharType="separate"/>
    </w:r>
    <w:r w:rsidR="008F525A">
      <w:rPr>
        <w:noProof/>
      </w:rPr>
      <w:t>8</w:t>
    </w:r>
    <w:r>
      <w:fldChar w:fldCharType="end"/>
    </w:r>
  </w:p>
  <w:p w14:paraId="62BEC8B0" w14:textId="77777777" w:rsidR="008C12C8" w:rsidRDefault="008C12C8">
    <w:pPr>
      <w:tabs>
        <w:tab w:val="center" w:pos="4680"/>
        <w:tab w:val="right" w:pos="9360"/>
      </w:tabs>
      <w:spacing w:after="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6BEF" w14:textId="77777777" w:rsidR="008C12C8" w:rsidRDefault="008C1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2317" w14:textId="77777777" w:rsidR="002E7FF5" w:rsidRDefault="002E7FF5">
      <w:r>
        <w:separator/>
      </w:r>
    </w:p>
  </w:footnote>
  <w:footnote w:type="continuationSeparator" w:id="0">
    <w:p w14:paraId="32CA0A88" w14:textId="77777777" w:rsidR="002E7FF5" w:rsidRDefault="002E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02B3" w14:textId="77777777" w:rsidR="008C12C8" w:rsidRDefault="008C12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1C"/>
    <w:rsid w:val="00021387"/>
    <w:rsid w:val="00022E4E"/>
    <w:rsid w:val="000727B3"/>
    <w:rsid w:val="00080438"/>
    <w:rsid w:val="000861FB"/>
    <w:rsid w:val="000C0BD2"/>
    <w:rsid w:val="000C40E4"/>
    <w:rsid w:val="000D79F0"/>
    <w:rsid w:val="00153738"/>
    <w:rsid w:val="00156128"/>
    <w:rsid w:val="00197657"/>
    <w:rsid w:val="001A2544"/>
    <w:rsid w:val="001D3822"/>
    <w:rsid w:val="001E03B4"/>
    <w:rsid w:val="0020091C"/>
    <w:rsid w:val="002535F0"/>
    <w:rsid w:val="002E7FF5"/>
    <w:rsid w:val="00300672"/>
    <w:rsid w:val="00333636"/>
    <w:rsid w:val="00334906"/>
    <w:rsid w:val="00370F8E"/>
    <w:rsid w:val="00374C91"/>
    <w:rsid w:val="003949BE"/>
    <w:rsid w:val="003A2C75"/>
    <w:rsid w:val="003B5388"/>
    <w:rsid w:val="003E5742"/>
    <w:rsid w:val="00423A39"/>
    <w:rsid w:val="00424A4E"/>
    <w:rsid w:val="00495580"/>
    <w:rsid w:val="004A2E41"/>
    <w:rsid w:val="004A4A02"/>
    <w:rsid w:val="004B32C1"/>
    <w:rsid w:val="004E043A"/>
    <w:rsid w:val="004E23CD"/>
    <w:rsid w:val="004E4D06"/>
    <w:rsid w:val="005010E5"/>
    <w:rsid w:val="005473DA"/>
    <w:rsid w:val="005516D8"/>
    <w:rsid w:val="00570A56"/>
    <w:rsid w:val="00575AE7"/>
    <w:rsid w:val="0059286A"/>
    <w:rsid w:val="00593357"/>
    <w:rsid w:val="005A2FA5"/>
    <w:rsid w:val="005A7D84"/>
    <w:rsid w:val="005C2701"/>
    <w:rsid w:val="005C7369"/>
    <w:rsid w:val="00616765"/>
    <w:rsid w:val="00642D32"/>
    <w:rsid w:val="0065248C"/>
    <w:rsid w:val="00674799"/>
    <w:rsid w:val="00681046"/>
    <w:rsid w:val="006B2AC4"/>
    <w:rsid w:val="006B7AE0"/>
    <w:rsid w:val="007007F7"/>
    <w:rsid w:val="00717774"/>
    <w:rsid w:val="007213C1"/>
    <w:rsid w:val="00740DB0"/>
    <w:rsid w:val="007453CC"/>
    <w:rsid w:val="007907B7"/>
    <w:rsid w:val="00792E27"/>
    <w:rsid w:val="007D15DD"/>
    <w:rsid w:val="00805A43"/>
    <w:rsid w:val="008151BA"/>
    <w:rsid w:val="008A0AA1"/>
    <w:rsid w:val="008C12C8"/>
    <w:rsid w:val="008F525A"/>
    <w:rsid w:val="00922F1A"/>
    <w:rsid w:val="009476C9"/>
    <w:rsid w:val="009D01CE"/>
    <w:rsid w:val="009F1EAD"/>
    <w:rsid w:val="00A04AC9"/>
    <w:rsid w:val="00A2159B"/>
    <w:rsid w:val="00A40825"/>
    <w:rsid w:val="00A46C5F"/>
    <w:rsid w:val="00A65352"/>
    <w:rsid w:val="00A97EBC"/>
    <w:rsid w:val="00AB57CA"/>
    <w:rsid w:val="00AB5CF6"/>
    <w:rsid w:val="00AF04F2"/>
    <w:rsid w:val="00B02366"/>
    <w:rsid w:val="00B0314A"/>
    <w:rsid w:val="00B425DE"/>
    <w:rsid w:val="00B4743A"/>
    <w:rsid w:val="00B93928"/>
    <w:rsid w:val="00BA4FC8"/>
    <w:rsid w:val="00BC7962"/>
    <w:rsid w:val="00C63CCE"/>
    <w:rsid w:val="00C70E5D"/>
    <w:rsid w:val="00C87C4E"/>
    <w:rsid w:val="00CB4E4B"/>
    <w:rsid w:val="00CB53D1"/>
    <w:rsid w:val="00CD35F6"/>
    <w:rsid w:val="00CF4E78"/>
    <w:rsid w:val="00CF6EC6"/>
    <w:rsid w:val="00D1437C"/>
    <w:rsid w:val="00D3757B"/>
    <w:rsid w:val="00D900A6"/>
    <w:rsid w:val="00D90971"/>
    <w:rsid w:val="00D95E11"/>
    <w:rsid w:val="00DA3281"/>
    <w:rsid w:val="00E1115F"/>
    <w:rsid w:val="00E44FB3"/>
    <w:rsid w:val="00E71796"/>
    <w:rsid w:val="00E741CB"/>
    <w:rsid w:val="00EA22FE"/>
    <w:rsid w:val="00EA6FB0"/>
    <w:rsid w:val="00EC03BD"/>
    <w:rsid w:val="00EC31F4"/>
    <w:rsid w:val="00EC4F4C"/>
    <w:rsid w:val="00EF573B"/>
    <w:rsid w:val="00F21C59"/>
    <w:rsid w:val="00F342FD"/>
    <w:rsid w:val="00F36109"/>
    <w:rsid w:val="00F63136"/>
    <w:rsid w:val="00F739A5"/>
    <w:rsid w:val="00F93108"/>
    <w:rsid w:val="00F93E28"/>
    <w:rsid w:val="00FC5064"/>
    <w:rsid w:val="00FE0B65"/>
    <w:rsid w:val="00FE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EE3D"/>
  <w15:chartTrackingRefBased/>
  <w15:docId w15:val="{0CA5B11E-B9A4-4061-B1E3-F8548284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2FA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3</cp:revision>
  <dcterms:created xsi:type="dcterms:W3CDTF">2018-05-09T21:00:00Z</dcterms:created>
  <dcterms:modified xsi:type="dcterms:W3CDTF">2018-05-09T21:06:00Z</dcterms:modified>
</cp:coreProperties>
</file>