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08F80" w14:textId="07E2991E" w:rsidR="000236F4" w:rsidRDefault="004E1D41" w:rsidP="00556BBA">
      <w:pPr>
        <w:jc w:val="center"/>
        <w:rPr>
          <w:b/>
          <w:bCs/>
          <w:color w:val="000000"/>
          <w:bdr w:val="none" w:sz="0" w:space="0" w:color="auto" w:frame="1"/>
          <w:shd w:val="clear" w:color="auto" w:fill="FFFFFF"/>
        </w:rPr>
      </w:pPr>
      <w:r w:rsidRPr="00556BBA">
        <w:rPr>
          <w:b/>
          <w:bCs/>
          <w:i/>
          <w:iCs/>
          <w:color w:val="000000"/>
          <w:bdr w:val="none" w:sz="0" w:space="0" w:color="auto" w:frame="1"/>
          <w:shd w:val="clear" w:color="auto" w:fill="FFFFFF"/>
        </w:rPr>
        <w:t>Accident Care &amp; Treatment Ctr., Inc. v. CSAA Gen. Ins. Co</w:t>
      </w:r>
      <w:r w:rsidRPr="00556BBA">
        <w:rPr>
          <w:b/>
          <w:bCs/>
          <w:color w:val="000000"/>
          <w:bdr w:val="none" w:sz="0" w:space="0" w:color="auto" w:frame="1"/>
          <w:shd w:val="clear" w:color="auto" w:fill="FFFFFF"/>
        </w:rPr>
        <w:t>., 2023 OK 105</w:t>
      </w:r>
      <w:r w:rsidRPr="00556BBA">
        <w:rPr>
          <w:b/>
          <w:bCs/>
          <w:color w:val="000000"/>
          <w:bdr w:val="none" w:sz="0" w:space="0" w:color="auto" w:frame="1"/>
          <w:shd w:val="clear" w:color="auto" w:fill="FFFFFF"/>
        </w:rPr>
        <w:t>, --</w:t>
      </w:r>
      <w:r w:rsidR="00556BBA" w:rsidRPr="00556BBA">
        <w:rPr>
          <w:b/>
          <w:bCs/>
          <w:color w:val="000000"/>
          <w:bdr w:val="none" w:sz="0" w:space="0" w:color="auto" w:frame="1"/>
          <w:shd w:val="clear" w:color="auto" w:fill="FFFFFF"/>
        </w:rPr>
        <w:t xml:space="preserve"> P.3d </w:t>
      </w:r>
      <w:r w:rsidR="00556BBA">
        <w:rPr>
          <w:b/>
          <w:bCs/>
          <w:color w:val="000000"/>
          <w:bdr w:val="none" w:sz="0" w:space="0" w:color="auto" w:frame="1"/>
          <w:shd w:val="clear" w:color="auto" w:fill="FFFFFF"/>
        </w:rPr>
        <w:t>–</w:t>
      </w:r>
    </w:p>
    <w:p w14:paraId="4AD97D93" w14:textId="77777777" w:rsidR="00556BBA" w:rsidRDefault="00556BBA" w:rsidP="00556BBA">
      <w:pPr>
        <w:jc w:val="center"/>
        <w:rPr>
          <w:b/>
          <w:bCs/>
          <w:color w:val="000000"/>
          <w:bdr w:val="none" w:sz="0" w:space="0" w:color="auto" w:frame="1"/>
          <w:shd w:val="clear" w:color="auto" w:fill="FFFFFF"/>
        </w:rPr>
      </w:pPr>
    </w:p>
    <w:p w14:paraId="4A7FA336" w14:textId="2A35257A" w:rsidR="007945B0" w:rsidRPr="00F90255" w:rsidRDefault="00CA366F" w:rsidP="00556BBA">
      <w:pPr>
        <w:jc w:val="both"/>
        <w:rPr>
          <w:color w:val="000000"/>
          <w:bdr w:val="none" w:sz="0" w:space="0" w:color="auto" w:frame="1"/>
          <w:shd w:val="clear" w:color="auto" w:fill="FFFFFF"/>
        </w:rPr>
      </w:pPr>
      <w:r>
        <w:rPr>
          <w:color w:val="000000"/>
          <w:bdr w:val="none" w:sz="0" w:space="0" w:color="auto" w:frame="1"/>
          <w:shd w:val="clear" w:color="auto" w:fill="FFFFFF"/>
        </w:rPr>
        <w:t xml:space="preserve">Accident Care and Treatment Center </w:t>
      </w:r>
      <w:r w:rsidR="00A33A22">
        <w:rPr>
          <w:color w:val="000000"/>
          <w:bdr w:val="none" w:sz="0" w:space="0" w:color="auto" w:frame="1"/>
          <w:shd w:val="clear" w:color="auto" w:fill="FFFFFF"/>
        </w:rPr>
        <w:t xml:space="preserve">and others </w:t>
      </w:r>
      <w:r w:rsidR="00AB66DB">
        <w:rPr>
          <w:color w:val="000000"/>
          <w:bdr w:val="none" w:sz="0" w:space="0" w:color="auto" w:frame="1"/>
          <w:shd w:val="clear" w:color="auto" w:fill="FFFFFF"/>
        </w:rPr>
        <w:t>(</w:t>
      </w:r>
      <w:r w:rsidR="00A33A22">
        <w:rPr>
          <w:color w:val="000000"/>
          <w:bdr w:val="none" w:sz="0" w:space="0" w:color="auto" w:frame="1"/>
          <w:shd w:val="clear" w:color="auto" w:fill="FFFFFF"/>
        </w:rPr>
        <w:t>“Providers”</w:t>
      </w:r>
      <w:r w:rsidR="00AB66DB">
        <w:rPr>
          <w:color w:val="000000"/>
          <w:bdr w:val="none" w:sz="0" w:space="0" w:color="auto" w:frame="1"/>
          <w:shd w:val="clear" w:color="auto" w:fill="FFFFFF"/>
        </w:rPr>
        <w:t xml:space="preserve">) </w:t>
      </w:r>
      <w:r>
        <w:rPr>
          <w:color w:val="000000"/>
          <w:bdr w:val="none" w:sz="0" w:space="0" w:color="auto" w:frame="1"/>
          <w:shd w:val="clear" w:color="auto" w:fill="FFFFFF"/>
        </w:rPr>
        <w:t>sued CSAA</w:t>
      </w:r>
      <w:r w:rsidR="005E5A73">
        <w:rPr>
          <w:color w:val="000000"/>
          <w:bdr w:val="none" w:sz="0" w:space="0" w:color="auto" w:frame="1"/>
          <w:shd w:val="clear" w:color="auto" w:fill="FFFFFF"/>
        </w:rPr>
        <w:t xml:space="preserve"> General Insurance Company</w:t>
      </w:r>
      <w:r>
        <w:rPr>
          <w:color w:val="000000"/>
          <w:bdr w:val="none" w:sz="0" w:space="0" w:color="auto" w:frame="1"/>
          <w:shd w:val="clear" w:color="auto" w:fill="FFFFFF"/>
        </w:rPr>
        <w:t xml:space="preserve"> </w:t>
      </w:r>
      <w:r w:rsidR="00AB66DB">
        <w:rPr>
          <w:color w:val="000000"/>
          <w:bdr w:val="none" w:sz="0" w:space="0" w:color="auto" w:frame="1"/>
          <w:shd w:val="clear" w:color="auto" w:fill="FFFFFF"/>
        </w:rPr>
        <w:t xml:space="preserve">(CSAA) </w:t>
      </w:r>
      <w:r w:rsidR="00A4408D">
        <w:rPr>
          <w:color w:val="000000"/>
          <w:bdr w:val="none" w:sz="0" w:space="0" w:color="auto" w:frame="1"/>
          <w:shd w:val="clear" w:color="auto" w:fill="FFFFFF"/>
        </w:rPr>
        <w:t xml:space="preserve">to enforce medical liens for </w:t>
      </w:r>
      <w:r w:rsidR="007945B0">
        <w:rPr>
          <w:color w:val="000000"/>
          <w:bdr w:val="none" w:sz="0" w:space="0" w:color="auto" w:frame="1"/>
          <w:shd w:val="clear" w:color="auto" w:fill="FFFFFF"/>
        </w:rPr>
        <w:t>treatment of</w:t>
      </w:r>
      <w:r w:rsidR="00356F19">
        <w:rPr>
          <w:color w:val="000000"/>
          <w:bdr w:val="none" w:sz="0" w:space="0" w:color="auto" w:frame="1"/>
          <w:shd w:val="clear" w:color="auto" w:fill="FFFFFF"/>
        </w:rPr>
        <w:t xml:space="preserve"> a person injured in an </w:t>
      </w:r>
      <w:r w:rsidR="00A4408D">
        <w:rPr>
          <w:color w:val="000000"/>
          <w:bdr w:val="none" w:sz="0" w:space="0" w:color="auto" w:frame="1"/>
          <w:shd w:val="clear" w:color="auto" w:fill="FFFFFF"/>
        </w:rPr>
        <w:t>MVA.</w:t>
      </w:r>
      <w:r w:rsidR="00356F19">
        <w:rPr>
          <w:color w:val="000000"/>
          <w:bdr w:val="none" w:sz="0" w:space="0" w:color="auto" w:frame="1"/>
          <w:shd w:val="clear" w:color="auto" w:fill="FFFFFF"/>
        </w:rPr>
        <w:t xml:space="preserve"> </w:t>
      </w:r>
      <w:r w:rsidR="005E5A73">
        <w:rPr>
          <w:color w:val="000000"/>
          <w:bdr w:val="none" w:sz="0" w:space="0" w:color="auto" w:frame="1"/>
          <w:shd w:val="clear" w:color="auto" w:fill="FFFFFF"/>
        </w:rPr>
        <w:t xml:space="preserve">CSAA claimed the charges were unreasonable and </w:t>
      </w:r>
      <w:r w:rsidR="00AB66DB">
        <w:rPr>
          <w:color w:val="000000"/>
          <w:bdr w:val="none" w:sz="0" w:space="0" w:color="auto" w:frame="1"/>
          <w:shd w:val="clear" w:color="auto" w:fill="FFFFFF"/>
        </w:rPr>
        <w:t xml:space="preserve">that some of the services were unnecessary. </w:t>
      </w:r>
      <w:r w:rsidR="00A33A22">
        <w:rPr>
          <w:color w:val="000000"/>
          <w:bdr w:val="none" w:sz="0" w:space="0" w:color="auto" w:frame="1"/>
          <w:shd w:val="clear" w:color="auto" w:fill="FFFFFF"/>
        </w:rPr>
        <w:t>Providers</w:t>
      </w:r>
      <w:r w:rsidR="00AB66DB">
        <w:rPr>
          <w:color w:val="000000"/>
          <w:bdr w:val="none" w:sz="0" w:space="0" w:color="auto" w:frame="1"/>
          <w:shd w:val="clear" w:color="auto" w:fill="FFFFFF"/>
        </w:rPr>
        <w:t xml:space="preserve"> </w:t>
      </w:r>
      <w:r w:rsidR="00834BC3">
        <w:rPr>
          <w:color w:val="000000"/>
          <w:bdr w:val="none" w:sz="0" w:space="0" w:color="auto" w:frame="1"/>
          <w:shd w:val="clear" w:color="auto" w:fill="FFFFFF"/>
        </w:rPr>
        <w:t>c</w:t>
      </w:r>
      <w:r w:rsidR="00EF7436">
        <w:rPr>
          <w:color w:val="000000"/>
          <w:bdr w:val="none" w:sz="0" w:space="0" w:color="auto" w:frame="1"/>
          <w:shd w:val="clear" w:color="auto" w:fill="FFFFFF"/>
        </w:rPr>
        <w:t>ountered</w:t>
      </w:r>
      <w:r w:rsidR="00834BC3">
        <w:rPr>
          <w:color w:val="000000"/>
          <w:bdr w:val="none" w:sz="0" w:space="0" w:color="auto" w:frame="1"/>
          <w:shd w:val="clear" w:color="auto" w:fill="FFFFFF"/>
        </w:rPr>
        <w:t xml:space="preserve"> that CSAA lacked standing to contest the charges</w:t>
      </w:r>
      <w:r w:rsidR="00BA7D7C">
        <w:rPr>
          <w:color w:val="000000"/>
          <w:bdr w:val="none" w:sz="0" w:space="0" w:color="auto" w:frame="1"/>
          <w:shd w:val="clear" w:color="auto" w:fill="FFFFFF"/>
        </w:rPr>
        <w:t xml:space="preserve"> absent an assignment from the injured party</w:t>
      </w:r>
      <w:r w:rsidR="00834BC3">
        <w:rPr>
          <w:color w:val="000000"/>
          <w:bdr w:val="none" w:sz="0" w:space="0" w:color="auto" w:frame="1"/>
          <w:shd w:val="clear" w:color="auto" w:fill="FFFFFF"/>
        </w:rPr>
        <w:t>.</w:t>
      </w:r>
      <w:r w:rsidR="00D14C51">
        <w:rPr>
          <w:color w:val="000000"/>
          <w:bdr w:val="none" w:sz="0" w:space="0" w:color="auto" w:frame="1"/>
          <w:shd w:val="clear" w:color="auto" w:fill="FFFFFF"/>
        </w:rPr>
        <w:t xml:space="preserve"> CSAA </w:t>
      </w:r>
      <w:r w:rsidR="000A052C">
        <w:rPr>
          <w:color w:val="000000"/>
          <w:bdr w:val="none" w:sz="0" w:space="0" w:color="auto" w:frame="1"/>
          <w:shd w:val="clear" w:color="auto" w:fill="FFFFFF"/>
        </w:rPr>
        <w:t xml:space="preserve">claimed </w:t>
      </w:r>
      <w:r w:rsidR="00EF7436">
        <w:rPr>
          <w:color w:val="000000"/>
          <w:bdr w:val="none" w:sz="0" w:space="0" w:color="auto" w:frame="1"/>
          <w:shd w:val="clear" w:color="auto" w:fill="FFFFFF"/>
        </w:rPr>
        <w:t>that the lack of a</w:t>
      </w:r>
      <w:r w:rsidR="00A95A62">
        <w:rPr>
          <w:color w:val="000000"/>
          <w:bdr w:val="none" w:sz="0" w:space="0" w:color="auto" w:frame="1"/>
          <w:shd w:val="clear" w:color="auto" w:fill="FFFFFF"/>
        </w:rPr>
        <w:t>n express</w:t>
      </w:r>
      <w:r w:rsidR="000A052C">
        <w:rPr>
          <w:color w:val="000000"/>
          <w:bdr w:val="none" w:sz="0" w:space="0" w:color="auto" w:frame="1"/>
          <w:shd w:val="clear" w:color="auto" w:fill="FFFFFF"/>
        </w:rPr>
        <w:t xml:space="preserve"> assignment </w:t>
      </w:r>
      <w:r w:rsidR="00A95A62">
        <w:rPr>
          <w:color w:val="000000"/>
          <w:bdr w:val="none" w:sz="0" w:space="0" w:color="auto" w:frame="1"/>
          <w:shd w:val="clear" w:color="auto" w:fill="FFFFFF"/>
        </w:rPr>
        <w:t xml:space="preserve">was an oversight </w:t>
      </w:r>
      <w:r w:rsidR="000A052C">
        <w:rPr>
          <w:color w:val="000000"/>
          <w:bdr w:val="none" w:sz="0" w:space="0" w:color="auto" w:frame="1"/>
          <w:shd w:val="clear" w:color="auto" w:fill="FFFFFF"/>
        </w:rPr>
        <w:t xml:space="preserve">but that the assignment was </w:t>
      </w:r>
      <w:r w:rsidR="00A95A62">
        <w:rPr>
          <w:color w:val="000000"/>
          <w:bdr w:val="none" w:sz="0" w:space="0" w:color="auto" w:frame="1"/>
          <w:shd w:val="clear" w:color="auto" w:fill="FFFFFF"/>
        </w:rPr>
        <w:t>proven</w:t>
      </w:r>
      <w:r w:rsidR="005D551C">
        <w:rPr>
          <w:color w:val="000000"/>
          <w:bdr w:val="none" w:sz="0" w:space="0" w:color="auto" w:frame="1"/>
          <w:shd w:val="clear" w:color="auto" w:fill="FFFFFF"/>
        </w:rPr>
        <w:t xml:space="preserve"> by</w:t>
      </w:r>
      <w:r w:rsidR="00A95A62">
        <w:rPr>
          <w:color w:val="000000"/>
          <w:bdr w:val="none" w:sz="0" w:space="0" w:color="auto" w:frame="1"/>
          <w:shd w:val="clear" w:color="auto" w:fill="FFFFFF"/>
        </w:rPr>
        <w:t xml:space="preserve"> the</w:t>
      </w:r>
      <w:r w:rsidR="005D551C">
        <w:rPr>
          <w:color w:val="000000"/>
          <w:bdr w:val="none" w:sz="0" w:space="0" w:color="auto" w:frame="1"/>
          <w:shd w:val="clear" w:color="auto" w:fill="FFFFFF"/>
        </w:rPr>
        <w:t xml:space="preserve"> settlement negotiations. </w:t>
      </w:r>
      <w:r w:rsidR="00F90255">
        <w:rPr>
          <w:i/>
          <w:iCs/>
          <w:color w:val="000000"/>
          <w:bdr w:val="none" w:sz="0" w:space="0" w:color="auto" w:frame="1"/>
          <w:shd w:val="clear" w:color="auto" w:fill="FFFFFF"/>
        </w:rPr>
        <w:t xml:space="preserve">Id. </w:t>
      </w:r>
      <w:r w:rsidR="00F90255">
        <w:rPr>
          <w:color w:val="000000"/>
          <w:bdr w:val="none" w:sz="0" w:space="0" w:color="auto" w:frame="1"/>
          <w:shd w:val="clear" w:color="auto" w:fill="FFFFFF"/>
        </w:rPr>
        <w:t>at ¶ 0.</w:t>
      </w:r>
    </w:p>
    <w:p w14:paraId="62D1B066" w14:textId="77777777" w:rsidR="007945B0" w:rsidRDefault="007945B0" w:rsidP="00556BBA">
      <w:pPr>
        <w:jc w:val="both"/>
        <w:rPr>
          <w:color w:val="000000"/>
          <w:bdr w:val="none" w:sz="0" w:space="0" w:color="auto" w:frame="1"/>
          <w:shd w:val="clear" w:color="auto" w:fill="FFFFFF"/>
        </w:rPr>
      </w:pPr>
    </w:p>
    <w:p w14:paraId="23462149" w14:textId="0C48896A" w:rsidR="00556BBA" w:rsidRPr="00F90255" w:rsidRDefault="005D551C" w:rsidP="00556BBA">
      <w:pPr>
        <w:jc w:val="both"/>
        <w:rPr>
          <w:i/>
          <w:iCs/>
          <w:color w:val="000000"/>
          <w:bdr w:val="none" w:sz="0" w:space="0" w:color="auto" w:frame="1"/>
          <w:shd w:val="clear" w:color="auto" w:fill="FFFFFF"/>
        </w:rPr>
      </w:pPr>
      <w:r>
        <w:rPr>
          <w:color w:val="000000"/>
          <w:bdr w:val="none" w:sz="0" w:space="0" w:color="auto" w:frame="1"/>
          <w:shd w:val="clear" w:color="auto" w:fill="FFFFFF"/>
        </w:rPr>
        <w:t xml:space="preserve">The trial court </w:t>
      </w:r>
      <w:r w:rsidR="006038D2">
        <w:rPr>
          <w:color w:val="000000"/>
          <w:bdr w:val="none" w:sz="0" w:space="0" w:color="auto" w:frame="1"/>
          <w:shd w:val="clear" w:color="auto" w:fill="FFFFFF"/>
        </w:rPr>
        <w:t xml:space="preserve">granted summary judgment to </w:t>
      </w:r>
      <w:r w:rsidR="00F13A32">
        <w:rPr>
          <w:color w:val="000000"/>
          <w:bdr w:val="none" w:sz="0" w:space="0" w:color="auto" w:frame="1"/>
          <w:shd w:val="clear" w:color="auto" w:fill="FFFFFF"/>
        </w:rPr>
        <w:t>Providers</w:t>
      </w:r>
      <w:r w:rsidR="006038D2">
        <w:rPr>
          <w:color w:val="000000"/>
          <w:bdr w:val="none" w:sz="0" w:space="0" w:color="auto" w:frame="1"/>
          <w:shd w:val="clear" w:color="auto" w:fill="FFFFFF"/>
        </w:rPr>
        <w:t xml:space="preserve"> holding</w:t>
      </w:r>
      <w:r w:rsidR="00F82C4B">
        <w:rPr>
          <w:color w:val="000000"/>
          <w:bdr w:val="none" w:sz="0" w:space="0" w:color="auto" w:frame="1"/>
          <w:shd w:val="clear" w:color="auto" w:fill="FFFFFF"/>
        </w:rPr>
        <w:t xml:space="preserve"> that there was no</w:t>
      </w:r>
      <w:r w:rsidR="004B1F86">
        <w:rPr>
          <w:color w:val="000000"/>
          <w:bdr w:val="none" w:sz="0" w:space="0" w:color="auto" w:frame="1"/>
          <w:shd w:val="clear" w:color="auto" w:fill="FFFFFF"/>
        </w:rPr>
        <w:t xml:space="preserve"> express</w:t>
      </w:r>
      <w:r w:rsidR="00F82C4B">
        <w:rPr>
          <w:color w:val="000000"/>
          <w:bdr w:val="none" w:sz="0" w:space="0" w:color="auto" w:frame="1"/>
          <w:shd w:val="clear" w:color="auto" w:fill="FFFFFF"/>
        </w:rPr>
        <w:t xml:space="preserve"> assignment in the release and the Parol Evidence Rule barred presentation </w:t>
      </w:r>
      <w:r w:rsidR="00525775">
        <w:rPr>
          <w:color w:val="000000"/>
          <w:bdr w:val="none" w:sz="0" w:space="0" w:color="auto" w:frame="1"/>
          <w:shd w:val="clear" w:color="auto" w:fill="FFFFFF"/>
        </w:rPr>
        <w:t>of</w:t>
      </w:r>
      <w:r w:rsidR="0035230F">
        <w:rPr>
          <w:color w:val="000000"/>
          <w:bdr w:val="none" w:sz="0" w:space="0" w:color="auto" w:frame="1"/>
          <w:shd w:val="clear" w:color="auto" w:fill="FFFFFF"/>
        </w:rPr>
        <w:t xml:space="preserve"> evidence to establish an implied assignment. The Court of Civil Appeals reversed, holding that there was a question of fact</w:t>
      </w:r>
      <w:r w:rsidR="004865C1">
        <w:rPr>
          <w:color w:val="000000"/>
          <w:bdr w:val="none" w:sz="0" w:space="0" w:color="auto" w:frame="1"/>
          <w:shd w:val="clear" w:color="auto" w:fill="FFFFFF"/>
        </w:rPr>
        <w:t xml:space="preserve"> regarding the claimed assignment</w:t>
      </w:r>
      <w:r w:rsidR="00525775">
        <w:rPr>
          <w:color w:val="000000"/>
          <w:bdr w:val="none" w:sz="0" w:space="0" w:color="auto" w:frame="1"/>
          <w:shd w:val="clear" w:color="auto" w:fill="FFFFFF"/>
        </w:rPr>
        <w:t xml:space="preserve">. </w:t>
      </w:r>
      <w:r w:rsidR="004865C1">
        <w:rPr>
          <w:color w:val="000000"/>
          <w:bdr w:val="none" w:sz="0" w:space="0" w:color="auto" w:frame="1"/>
          <w:shd w:val="clear" w:color="auto" w:fill="FFFFFF"/>
        </w:rPr>
        <w:t xml:space="preserve">The Supreme Court </w:t>
      </w:r>
      <w:r w:rsidR="00505746">
        <w:rPr>
          <w:color w:val="000000"/>
          <w:bdr w:val="none" w:sz="0" w:space="0" w:color="auto" w:frame="1"/>
          <w:shd w:val="clear" w:color="auto" w:fill="FFFFFF"/>
        </w:rPr>
        <w:t>vacated</w:t>
      </w:r>
      <w:r w:rsidR="004865C1">
        <w:rPr>
          <w:color w:val="000000"/>
          <w:bdr w:val="none" w:sz="0" w:space="0" w:color="auto" w:frame="1"/>
          <w:shd w:val="clear" w:color="auto" w:fill="FFFFFF"/>
        </w:rPr>
        <w:t xml:space="preserve"> the COCA</w:t>
      </w:r>
      <w:r w:rsidR="00505746">
        <w:rPr>
          <w:color w:val="000000"/>
          <w:bdr w:val="none" w:sz="0" w:space="0" w:color="auto" w:frame="1"/>
          <w:shd w:val="clear" w:color="auto" w:fill="FFFFFF"/>
        </w:rPr>
        <w:t xml:space="preserve"> decision because the</w:t>
      </w:r>
      <w:r w:rsidR="00195836">
        <w:rPr>
          <w:color w:val="000000"/>
          <w:bdr w:val="none" w:sz="0" w:space="0" w:color="auto" w:frame="1"/>
          <w:shd w:val="clear" w:color="auto" w:fill="FFFFFF"/>
        </w:rPr>
        <w:t>re was no assignment in the executed release and in the absence of fraud</w:t>
      </w:r>
      <w:r w:rsidR="00505746">
        <w:rPr>
          <w:color w:val="000000"/>
          <w:bdr w:val="none" w:sz="0" w:space="0" w:color="auto" w:frame="1"/>
          <w:shd w:val="clear" w:color="auto" w:fill="FFFFFF"/>
        </w:rPr>
        <w:t xml:space="preserve"> </w:t>
      </w:r>
      <w:r w:rsidR="003308CB">
        <w:rPr>
          <w:color w:val="000000"/>
          <w:bdr w:val="none" w:sz="0" w:space="0" w:color="auto" w:frame="1"/>
          <w:shd w:val="clear" w:color="auto" w:fill="FFFFFF"/>
        </w:rPr>
        <w:t>all pre-release negotiations were merged into and superseded by the terms of the executed release.</w:t>
      </w:r>
      <w:r w:rsidR="00505746">
        <w:rPr>
          <w:color w:val="000000"/>
          <w:bdr w:val="none" w:sz="0" w:space="0" w:color="auto" w:frame="1"/>
          <w:shd w:val="clear" w:color="auto" w:fill="FFFFFF"/>
        </w:rPr>
        <w:t xml:space="preserve"> The Court remanded for proceedings consistent with the opinion.</w:t>
      </w:r>
      <w:r w:rsidR="00F90255">
        <w:rPr>
          <w:color w:val="000000"/>
          <w:bdr w:val="none" w:sz="0" w:space="0" w:color="auto" w:frame="1"/>
          <w:shd w:val="clear" w:color="auto" w:fill="FFFFFF"/>
        </w:rPr>
        <w:t xml:space="preserve"> </w:t>
      </w:r>
      <w:r w:rsidR="00F90255">
        <w:rPr>
          <w:i/>
          <w:iCs/>
          <w:color w:val="000000"/>
          <w:bdr w:val="none" w:sz="0" w:space="0" w:color="auto" w:frame="1"/>
          <w:shd w:val="clear" w:color="auto" w:fill="FFFFFF"/>
        </w:rPr>
        <w:t>Id.</w:t>
      </w:r>
    </w:p>
    <w:p w14:paraId="7A039863" w14:textId="77777777" w:rsidR="00B7015F" w:rsidRDefault="00B7015F" w:rsidP="00556BBA">
      <w:pPr>
        <w:jc w:val="both"/>
        <w:rPr>
          <w:color w:val="000000"/>
          <w:bdr w:val="none" w:sz="0" w:space="0" w:color="auto" w:frame="1"/>
          <w:shd w:val="clear" w:color="auto" w:fill="FFFFFF"/>
        </w:rPr>
      </w:pPr>
    </w:p>
    <w:p w14:paraId="6F3B392E" w14:textId="7A7F5BC7" w:rsidR="00B7015F" w:rsidRDefault="00B7015F" w:rsidP="00556BBA">
      <w:pPr>
        <w:jc w:val="both"/>
        <w:rPr>
          <w:color w:val="000000"/>
          <w:bdr w:val="none" w:sz="0" w:space="0" w:color="auto" w:frame="1"/>
          <w:shd w:val="clear" w:color="auto" w:fill="FFFFFF"/>
        </w:rPr>
      </w:pPr>
      <w:r>
        <w:rPr>
          <w:color w:val="000000"/>
          <w:bdr w:val="none" w:sz="0" w:space="0" w:color="auto" w:frame="1"/>
          <w:shd w:val="clear" w:color="auto" w:fill="FFFFFF"/>
        </w:rPr>
        <w:t>Issue presented: “</w:t>
      </w:r>
      <w:r w:rsidRPr="00B7015F">
        <w:rPr>
          <w:color w:val="000000"/>
          <w:bdr w:val="none" w:sz="0" w:space="0" w:color="auto" w:frame="1"/>
          <w:shd w:val="clear" w:color="auto" w:fill="FFFFFF"/>
        </w:rPr>
        <w:t>We are presented with the question of whether an insurance company that drafted a settlement release and failed to include language for an assignment, may introduce parol evidence to try and prove the Releasor/injured party assigned certain rights to insurance company giving it legal standing to dispute medical liens.</w:t>
      </w:r>
      <w:r>
        <w:rPr>
          <w:color w:val="000000"/>
          <w:bdr w:val="none" w:sz="0" w:space="0" w:color="auto" w:frame="1"/>
          <w:shd w:val="clear" w:color="auto" w:fill="FFFFFF"/>
        </w:rPr>
        <w:t>”</w:t>
      </w:r>
      <w:r w:rsidR="00324314">
        <w:rPr>
          <w:color w:val="000000"/>
          <w:bdr w:val="none" w:sz="0" w:space="0" w:color="auto" w:frame="1"/>
          <w:shd w:val="clear" w:color="auto" w:fill="FFFFFF"/>
        </w:rPr>
        <w:t xml:space="preserve"> ¶ 1.</w:t>
      </w:r>
    </w:p>
    <w:p w14:paraId="5CA564C7" w14:textId="77777777" w:rsidR="00B7015F" w:rsidRDefault="00B7015F" w:rsidP="00556BBA">
      <w:pPr>
        <w:jc w:val="both"/>
        <w:rPr>
          <w:color w:val="000000"/>
          <w:bdr w:val="none" w:sz="0" w:space="0" w:color="auto" w:frame="1"/>
          <w:shd w:val="clear" w:color="auto" w:fill="FFFFFF"/>
        </w:rPr>
      </w:pPr>
    </w:p>
    <w:p w14:paraId="44C11EE7" w14:textId="56C5D680" w:rsidR="00B7015F" w:rsidRDefault="00B7015F" w:rsidP="00556BBA">
      <w:pPr>
        <w:jc w:val="both"/>
        <w:rPr>
          <w:color w:val="000000"/>
          <w:bdr w:val="none" w:sz="0" w:space="0" w:color="auto" w:frame="1"/>
          <w:shd w:val="clear" w:color="auto" w:fill="FFFFFF"/>
        </w:rPr>
      </w:pPr>
      <w:r>
        <w:rPr>
          <w:color w:val="000000"/>
          <w:bdr w:val="none" w:sz="0" w:space="0" w:color="auto" w:frame="1"/>
          <w:shd w:val="clear" w:color="auto" w:fill="FFFFFF"/>
        </w:rPr>
        <w:t xml:space="preserve">Holding: </w:t>
      </w:r>
      <w:r w:rsidR="00752CB0">
        <w:rPr>
          <w:color w:val="000000"/>
          <w:bdr w:val="none" w:sz="0" w:space="0" w:color="auto" w:frame="1"/>
          <w:shd w:val="clear" w:color="auto" w:fill="FFFFFF"/>
        </w:rPr>
        <w:t>“</w:t>
      </w:r>
      <w:r w:rsidR="00752CB0" w:rsidRPr="00752CB0">
        <w:rPr>
          <w:color w:val="000000"/>
          <w:bdr w:val="none" w:sz="0" w:space="0" w:color="auto" w:frame="1"/>
          <w:shd w:val="clear" w:color="auto" w:fill="FFFFFF"/>
        </w:rPr>
        <w:t>We hold, absent fraud, a release which is in writing and where the parties affirmatively warranted "that no promise or inducement has been offered except as herein set forth," supersedes all oral stipulations or negotiations preceding its execution, and parol evidence is not admissible to modify or change the release.</w:t>
      </w:r>
      <w:r w:rsidR="00752CB0">
        <w:rPr>
          <w:color w:val="000000"/>
          <w:bdr w:val="none" w:sz="0" w:space="0" w:color="auto" w:frame="1"/>
          <w:shd w:val="clear" w:color="auto" w:fill="FFFFFF"/>
        </w:rPr>
        <w:t>”</w:t>
      </w:r>
      <w:r w:rsidR="00324314">
        <w:rPr>
          <w:color w:val="000000"/>
          <w:bdr w:val="none" w:sz="0" w:space="0" w:color="auto" w:frame="1"/>
          <w:shd w:val="clear" w:color="auto" w:fill="FFFFFF"/>
        </w:rPr>
        <w:t xml:space="preserve"> ¶ 1.</w:t>
      </w:r>
    </w:p>
    <w:p w14:paraId="58F8108E" w14:textId="77777777" w:rsidR="00817C75" w:rsidRDefault="00817C75" w:rsidP="00556BBA">
      <w:pPr>
        <w:jc w:val="both"/>
        <w:rPr>
          <w:color w:val="000000"/>
          <w:bdr w:val="none" w:sz="0" w:space="0" w:color="auto" w:frame="1"/>
          <w:shd w:val="clear" w:color="auto" w:fill="FFFFFF"/>
        </w:rPr>
      </w:pPr>
    </w:p>
    <w:p w14:paraId="509DA1A0" w14:textId="5A5A3A16" w:rsidR="001812D4" w:rsidRPr="00F36043" w:rsidRDefault="00817C75" w:rsidP="00556BBA">
      <w:pPr>
        <w:jc w:val="both"/>
        <w:rPr>
          <w:color w:val="000000"/>
          <w:bdr w:val="none" w:sz="0" w:space="0" w:color="auto" w:frame="1"/>
          <w:shd w:val="clear" w:color="auto" w:fill="FFFFFF"/>
        </w:rPr>
      </w:pPr>
      <w:r>
        <w:rPr>
          <w:color w:val="000000"/>
          <w:bdr w:val="none" w:sz="0" w:space="0" w:color="auto" w:frame="1"/>
          <w:shd w:val="clear" w:color="auto" w:fill="FFFFFF"/>
        </w:rPr>
        <w:t>Facts and history:</w:t>
      </w:r>
      <w:r w:rsidR="00F65885">
        <w:rPr>
          <w:color w:val="000000"/>
          <w:bdr w:val="none" w:sz="0" w:space="0" w:color="auto" w:frame="1"/>
          <w:shd w:val="clear" w:color="auto" w:fill="FFFFFF"/>
        </w:rPr>
        <w:t xml:space="preserve"> Several providers</w:t>
      </w:r>
      <w:r w:rsidR="00A1489D">
        <w:rPr>
          <w:rStyle w:val="FootnoteReference"/>
          <w:color w:val="000000"/>
          <w:bdr w:val="none" w:sz="0" w:space="0" w:color="auto" w:frame="1"/>
          <w:shd w:val="clear" w:color="auto" w:fill="FFFFFF"/>
        </w:rPr>
        <w:footnoteReference w:id="1"/>
      </w:r>
      <w:r w:rsidR="00F65885">
        <w:rPr>
          <w:color w:val="000000"/>
          <w:bdr w:val="none" w:sz="0" w:space="0" w:color="auto" w:frame="1"/>
          <w:shd w:val="clear" w:color="auto" w:fill="FFFFFF"/>
        </w:rPr>
        <w:t xml:space="preserve"> rendered services to Gayla Hamilton after she was hurt in a wreck caused by the negligence of others. </w:t>
      </w:r>
      <w:r w:rsidR="00A1489D">
        <w:rPr>
          <w:color w:val="000000"/>
          <w:bdr w:val="none" w:sz="0" w:space="0" w:color="auto" w:frame="1"/>
          <w:shd w:val="clear" w:color="auto" w:fill="FFFFFF"/>
        </w:rPr>
        <w:t xml:space="preserve">CSAA insured those responsible for the wreck. It was undisputed that each </w:t>
      </w:r>
      <w:r w:rsidR="00C52497">
        <w:rPr>
          <w:color w:val="000000"/>
          <w:bdr w:val="none" w:sz="0" w:space="0" w:color="auto" w:frame="1"/>
          <w:shd w:val="clear" w:color="auto" w:fill="FFFFFF"/>
        </w:rPr>
        <w:t>P</w:t>
      </w:r>
      <w:r w:rsidR="00A1489D">
        <w:rPr>
          <w:color w:val="000000"/>
          <w:bdr w:val="none" w:sz="0" w:space="0" w:color="auto" w:frame="1"/>
          <w:shd w:val="clear" w:color="auto" w:fill="FFFFFF"/>
        </w:rPr>
        <w:t>rovider</w:t>
      </w:r>
      <w:r w:rsidR="0071631B">
        <w:rPr>
          <w:color w:val="000000"/>
          <w:bdr w:val="none" w:sz="0" w:space="0" w:color="auto" w:frame="1"/>
          <w:shd w:val="clear" w:color="auto" w:fill="FFFFFF"/>
        </w:rPr>
        <w:t xml:space="preserve"> </w:t>
      </w:r>
      <w:r w:rsidR="002A167A">
        <w:rPr>
          <w:color w:val="000000"/>
          <w:bdr w:val="none" w:sz="0" w:space="0" w:color="auto" w:frame="1"/>
          <w:shd w:val="clear" w:color="auto" w:fill="FFFFFF"/>
        </w:rPr>
        <w:t xml:space="preserve">filed a lien notice “against </w:t>
      </w:r>
      <w:r w:rsidR="00C524CA">
        <w:rPr>
          <w:color w:val="000000"/>
          <w:bdr w:val="none" w:sz="0" w:space="0" w:color="auto" w:frame="1"/>
          <w:shd w:val="clear" w:color="auto" w:fill="FFFFFF"/>
        </w:rPr>
        <w:t>[</w:t>
      </w:r>
      <w:r w:rsidR="00703D3C">
        <w:rPr>
          <w:color w:val="000000"/>
          <w:bdr w:val="none" w:sz="0" w:space="0" w:color="auto" w:frame="1"/>
          <w:shd w:val="clear" w:color="auto" w:fill="FFFFFF"/>
        </w:rPr>
        <w:t xml:space="preserve">the </w:t>
      </w:r>
      <w:r w:rsidR="00EC0E7C">
        <w:rPr>
          <w:color w:val="000000"/>
          <w:bdr w:val="none" w:sz="0" w:space="0" w:color="auto" w:frame="1"/>
          <w:shd w:val="clear" w:color="auto" w:fill="FFFFFF"/>
        </w:rPr>
        <w:t>AAA (</w:t>
      </w:r>
      <w:r w:rsidR="00C524CA">
        <w:rPr>
          <w:color w:val="000000"/>
          <w:bdr w:val="none" w:sz="0" w:space="0" w:color="auto" w:frame="1"/>
          <w:shd w:val="clear" w:color="auto" w:fill="FFFFFF"/>
        </w:rPr>
        <w:t>CSAA</w:t>
      </w:r>
      <w:r w:rsidR="00EC0E7C">
        <w:rPr>
          <w:color w:val="000000"/>
          <w:bdr w:val="none" w:sz="0" w:space="0" w:color="auto" w:frame="1"/>
          <w:shd w:val="clear" w:color="auto" w:fill="FFFFFF"/>
        </w:rPr>
        <w:t>)</w:t>
      </w:r>
      <w:r w:rsidR="00C524CA">
        <w:rPr>
          <w:color w:val="000000"/>
          <w:bdr w:val="none" w:sz="0" w:space="0" w:color="auto" w:frame="1"/>
          <w:shd w:val="clear" w:color="auto" w:fill="FFFFFF"/>
        </w:rPr>
        <w:t xml:space="preserve"> </w:t>
      </w:r>
      <w:r w:rsidR="00703D3C">
        <w:rPr>
          <w:color w:val="000000"/>
          <w:bdr w:val="none" w:sz="0" w:space="0" w:color="auto" w:frame="1"/>
          <w:shd w:val="clear" w:color="auto" w:fill="FFFFFF"/>
        </w:rPr>
        <w:t>c</w:t>
      </w:r>
      <w:r w:rsidR="00C524CA">
        <w:rPr>
          <w:color w:val="000000"/>
          <w:bdr w:val="none" w:sz="0" w:space="0" w:color="auto" w:frame="1"/>
          <w:shd w:val="clear" w:color="auto" w:fill="FFFFFF"/>
        </w:rPr>
        <w:t>laim</w:t>
      </w:r>
      <w:r w:rsidR="00703D3C">
        <w:rPr>
          <w:color w:val="000000"/>
          <w:bdr w:val="none" w:sz="0" w:space="0" w:color="auto" w:frame="1"/>
          <w:shd w:val="clear" w:color="auto" w:fill="FFFFFF"/>
        </w:rPr>
        <w:t xml:space="preserve"> number</w:t>
      </w:r>
      <w:r w:rsidR="00C524CA">
        <w:rPr>
          <w:color w:val="000000"/>
          <w:bdr w:val="none" w:sz="0" w:space="0" w:color="auto" w:frame="1"/>
          <w:shd w:val="clear" w:color="auto" w:fill="FFFFFF"/>
        </w:rPr>
        <w:t>]” and that C</w:t>
      </w:r>
      <w:r w:rsidR="00EC0E7C">
        <w:rPr>
          <w:color w:val="000000"/>
          <w:bdr w:val="none" w:sz="0" w:space="0" w:color="auto" w:frame="1"/>
          <w:shd w:val="clear" w:color="auto" w:fill="FFFFFF"/>
        </w:rPr>
        <w:t>SAA had actual notice of the liens.</w:t>
      </w:r>
      <w:r w:rsidR="00932C4A">
        <w:rPr>
          <w:color w:val="000000"/>
          <w:bdr w:val="none" w:sz="0" w:space="0" w:color="auto" w:frame="1"/>
          <w:shd w:val="clear" w:color="auto" w:fill="FFFFFF"/>
        </w:rPr>
        <w:t xml:space="preserve"> The claim was settled</w:t>
      </w:r>
      <w:r w:rsidR="00703D3C">
        <w:rPr>
          <w:color w:val="000000"/>
          <w:bdr w:val="none" w:sz="0" w:space="0" w:color="auto" w:frame="1"/>
          <w:shd w:val="clear" w:color="auto" w:fill="FFFFFF"/>
        </w:rPr>
        <w:t>,</w:t>
      </w:r>
      <w:r w:rsidR="00932C4A">
        <w:rPr>
          <w:color w:val="000000"/>
          <w:bdr w:val="none" w:sz="0" w:space="0" w:color="auto" w:frame="1"/>
          <w:shd w:val="clear" w:color="auto" w:fill="FFFFFF"/>
        </w:rPr>
        <w:t xml:space="preserve"> with $7,500 going to Hamilton and separate</w:t>
      </w:r>
      <w:r w:rsidR="000E1502">
        <w:rPr>
          <w:color w:val="000000"/>
          <w:bdr w:val="none" w:sz="0" w:space="0" w:color="auto" w:frame="1"/>
          <w:shd w:val="clear" w:color="auto" w:fill="FFFFFF"/>
        </w:rPr>
        <w:t>—reduced—</w:t>
      </w:r>
      <w:r w:rsidR="00932C4A">
        <w:rPr>
          <w:color w:val="000000"/>
          <w:bdr w:val="none" w:sz="0" w:space="0" w:color="auto" w:frame="1"/>
          <w:shd w:val="clear" w:color="auto" w:fill="FFFFFF"/>
        </w:rPr>
        <w:t xml:space="preserve">payments to </w:t>
      </w:r>
      <w:r w:rsidR="00C52497">
        <w:rPr>
          <w:color w:val="000000"/>
          <w:bdr w:val="none" w:sz="0" w:space="0" w:color="auto" w:frame="1"/>
          <w:shd w:val="clear" w:color="auto" w:fill="FFFFFF"/>
        </w:rPr>
        <w:t>P</w:t>
      </w:r>
      <w:r w:rsidR="00932C4A">
        <w:rPr>
          <w:color w:val="000000"/>
          <w:bdr w:val="none" w:sz="0" w:space="0" w:color="auto" w:frame="1"/>
          <w:shd w:val="clear" w:color="auto" w:fill="FFFFFF"/>
        </w:rPr>
        <w:t xml:space="preserve">roviders from CSAA. It was also undisputed that CSAA did not have </w:t>
      </w:r>
      <w:r w:rsidR="00C52497">
        <w:rPr>
          <w:color w:val="000000"/>
          <w:bdr w:val="none" w:sz="0" w:space="0" w:color="auto" w:frame="1"/>
          <w:shd w:val="clear" w:color="auto" w:fill="FFFFFF"/>
        </w:rPr>
        <w:t>P</w:t>
      </w:r>
      <w:r w:rsidR="00932C4A">
        <w:rPr>
          <w:color w:val="000000"/>
          <w:bdr w:val="none" w:sz="0" w:space="0" w:color="auto" w:frame="1"/>
          <w:shd w:val="clear" w:color="auto" w:fill="FFFFFF"/>
        </w:rPr>
        <w:t>roviders</w:t>
      </w:r>
      <w:r w:rsidR="00C52497">
        <w:rPr>
          <w:color w:val="000000"/>
          <w:bdr w:val="none" w:sz="0" w:space="0" w:color="auto" w:frame="1"/>
          <w:shd w:val="clear" w:color="auto" w:fill="FFFFFF"/>
        </w:rPr>
        <w:t>’ consent</w:t>
      </w:r>
      <w:r w:rsidR="00932C4A">
        <w:rPr>
          <w:color w:val="000000"/>
          <w:bdr w:val="none" w:sz="0" w:space="0" w:color="auto" w:frame="1"/>
          <w:shd w:val="clear" w:color="auto" w:fill="FFFFFF"/>
        </w:rPr>
        <w:t xml:space="preserve"> to reduce their liens. </w:t>
      </w:r>
      <w:r w:rsidR="00324314">
        <w:rPr>
          <w:i/>
          <w:iCs/>
          <w:color w:val="000000"/>
          <w:bdr w:val="none" w:sz="0" w:space="0" w:color="auto" w:frame="1"/>
          <w:shd w:val="clear" w:color="auto" w:fill="FFFFFF"/>
        </w:rPr>
        <w:t xml:space="preserve">Id. </w:t>
      </w:r>
      <w:r w:rsidR="00F36043">
        <w:rPr>
          <w:color w:val="000000"/>
          <w:bdr w:val="none" w:sz="0" w:space="0" w:color="auto" w:frame="1"/>
          <w:shd w:val="clear" w:color="auto" w:fill="FFFFFF"/>
        </w:rPr>
        <w:t>at ¶</w:t>
      </w:r>
      <w:r w:rsidR="007964E3">
        <w:rPr>
          <w:color w:val="000000"/>
          <w:bdr w:val="none" w:sz="0" w:space="0" w:color="auto" w:frame="1"/>
          <w:shd w:val="clear" w:color="auto" w:fill="FFFFFF"/>
        </w:rPr>
        <w:t>¶</w:t>
      </w:r>
      <w:r w:rsidR="00F36043">
        <w:rPr>
          <w:color w:val="000000"/>
          <w:bdr w:val="none" w:sz="0" w:space="0" w:color="auto" w:frame="1"/>
          <w:shd w:val="clear" w:color="auto" w:fill="FFFFFF"/>
        </w:rPr>
        <w:t xml:space="preserve"> 2</w:t>
      </w:r>
      <w:r w:rsidR="007964E3">
        <w:rPr>
          <w:color w:val="000000"/>
          <w:bdr w:val="none" w:sz="0" w:space="0" w:color="auto" w:frame="1"/>
          <w:shd w:val="clear" w:color="auto" w:fill="FFFFFF"/>
        </w:rPr>
        <w:t>-3</w:t>
      </w:r>
      <w:r w:rsidR="00F36043">
        <w:rPr>
          <w:color w:val="000000"/>
          <w:bdr w:val="none" w:sz="0" w:space="0" w:color="auto" w:frame="1"/>
          <w:shd w:val="clear" w:color="auto" w:fill="FFFFFF"/>
        </w:rPr>
        <w:t>.</w:t>
      </w:r>
    </w:p>
    <w:p w14:paraId="3BE649FC" w14:textId="77777777" w:rsidR="001812D4" w:rsidRDefault="001812D4" w:rsidP="00556BBA">
      <w:pPr>
        <w:jc w:val="both"/>
        <w:rPr>
          <w:color w:val="000000"/>
          <w:bdr w:val="none" w:sz="0" w:space="0" w:color="auto" w:frame="1"/>
          <w:shd w:val="clear" w:color="auto" w:fill="FFFFFF"/>
        </w:rPr>
      </w:pPr>
    </w:p>
    <w:p w14:paraId="13043AE1" w14:textId="791C138A" w:rsidR="001812D4" w:rsidRPr="002B5D80" w:rsidRDefault="00932C4A" w:rsidP="00556BBA">
      <w:pPr>
        <w:jc w:val="both"/>
        <w:rPr>
          <w:color w:val="000000"/>
          <w:bdr w:val="none" w:sz="0" w:space="0" w:color="auto" w:frame="1"/>
          <w:shd w:val="clear" w:color="auto" w:fill="FFFFFF"/>
        </w:rPr>
      </w:pPr>
      <w:r>
        <w:rPr>
          <w:color w:val="000000"/>
          <w:bdr w:val="none" w:sz="0" w:space="0" w:color="auto" w:frame="1"/>
          <w:shd w:val="clear" w:color="auto" w:fill="FFFFFF"/>
        </w:rPr>
        <w:t xml:space="preserve">CSAA prepared the release and was </w:t>
      </w:r>
      <w:r w:rsidR="00DB61DF">
        <w:rPr>
          <w:color w:val="000000"/>
          <w:bdr w:val="none" w:sz="0" w:space="0" w:color="auto" w:frame="1"/>
          <w:shd w:val="clear" w:color="auto" w:fill="FFFFFF"/>
        </w:rPr>
        <w:t xml:space="preserve">“solely responsible for the terms.” Hamilton agreed to release CSAA and the release </w:t>
      </w:r>
      <w:r w:rsidR="00D02352">
        <w:rPr>
          <w:color w:val="000000"/>
          <w:bdr w:val="none" w:sz="0" w:space="0" w:color="auto" w:frame="1"/>
          <w:shd w:val="clear" w:color="auto" w:fill="FFFFFF"/>
        </w:rPr>
        <w:t>contained a “warranty” that there was no other promise given to indu</w:t>
      </w:r>
      <w:r w:rsidR="00D93553">
        <w:rPr>
          <w:color w:val="000000"/>
          <w:bdr w:val="none" w:sz="0" w:space="0" w:color="auto" w:frame="1"/>
          <w:shd w:val="clear" w:color="auto" w:fill="FFFFFF"/>
        </w:rPr>
        <w:t xml:space="preserve">ce the settlement and that the release was executed without reliance upon any statement or representation </w:t>
      </w:r>
      <w:r w:rsidR="00CA52C3">
        <w:rPr>
          <w:color w:val="000000"/>
          <w:bdr w:val="none" w:sz="0" w:space="0" w:color="auto" w:frame="1"/>
          <w:shd w:val="clear" w:color="auto" w:fill="FFFFFF"/>
        </w:rPr>
        <w:t xml:space="preserve">by the </w:t>
      </w:r>
      <w:r w:rsidR="00887614">
        <w:rPr>
          <w:color w:val="000000"/>
          <w:bdr w:val="none" w:sz="0" w:space="0" w:color="auto" w:frame="1"/>
          <w:shd w:val="clear" w:color="auto" w:fill="FFFFFF"/>
        </w:rPr>
        <w:t>released parties, their representatives</w:t>
      </w:r>
      <w:r w:rsidR="00765B24">
        <w:rPr>
          <w:color w:val="000000"/>
          <w:bdr w:val="none" w:sz="0" w:space="0" w:color="auto" w:frame="1"/>
          <w:shd w:val="clear" w:color="auto" w:fill="FFFFFF"/>
        </w:rPr>
        <w:t xml:space="preserve">, their physicians, or any other person, </w:t>
      </w:r>
      <w:r w:rsidR="00224641">
        <w:rPr>
          <w:color w:val="000000"/>
          <w:bdr w:val="none" w:sz="0" w:space="0" w:color="auto" w:frame="1"/>
          <w:shd w:val="clear" w:color="auto" w:fill="FFFFFF"/>
        </w:rPr>
        <w:t>“</w:t>
      </w:r>
      <w:r w:rsidR="00765B24">
        <w:rPr>
          <w:color w:val="000000"/>
          <w:bdr w:val="none" w:sz="0" w:space="0" w:color="auto" w:frame="1"/>
          <w:shd w:val="clear" w:color="auto" w:fill="FFFFFF"/>
        </w:rPr>
        <w:t xml:space="preserve">concerning </w:t>
      </w:r>
      <w:r w:rsidR="000A15E6">
        <w:rPr>
          <w:color w:val="000000"/>
          <w:bdr w:val="none" w:sz="0" w:space="0" w:color="auto" w:frame="1"/>
          <w:shd w:val="clear" w:color="auto" w:fill="FFFFFF"/>
        </w:rPr>
        <w:t>the nature an</w:t>
      </w:r>
      <w:r w:rsidR="00224641">
        <w:rPr>
          <w:color w:val="000000"/>
          <w:bdr w:val="none" w:sz="0" w:space="0" w:color="auto" w:frame="1"/>
          <w:shd w:val="clear" w:color="auto" w:fill="FFFFFF"/>
        </w:rPr>
        <w:t>d</w:t>
      </w:r>
      <w:r w:rsidR="000A15E6">
        <w:rPr>
          <w:color w:val="000000"/>
          <w:bdr w:val="none" w:sz="0" w:space="0" w:color="auto" w:frame="1"/>
          <w:shd w:val="clear" w:color="auto" w:fill="FFFFFF"/>
        </w:rPr>
        <w:t xml:space="preserve"> extent</w:t>
      </w:r>
      <w:r w:rsidR="00224641">
        <w:rPr>
          <w:color w:val="000000"/>
          <w:bdr w:val="none" w:sz="0" w:space="0" w:color="auto" w:frame="1"/>
          <w:shd w:val="clear" w:color="auto" w:fill="FFFFFF"/>
        </w:rPr>
        <w:t>”</w:t>
      </w:r>
      <w:r w:rsidR="000A15E6">
        <w:rPr>
          <w:color w:val="000000"/>
          <w:bdr w:val="none" w:sz="0" w:space="0" w:color="auto" w:frame="1"/>
          <w:shd w:val="clear" w:color="auto" w:fill="FFFFFF"/>
        </w:rPr>
        <w:t xml:space="preserve"> of damages </w:t>
      </w:r>
      <w:r w:rsidR="00224641">
        <w:rPr>
          <w:color w:val="000000"/>
          <w:bdr w:val="none" w:sz="0" w:space="0" w:color="auto" w:frame="1"/>
          <w:shd w:val="clear" w:color="auto" w:fill="FFFFFF"/>
        </w:rPr>
        <w:t>“</w:t>
      </w:r>
      <w:r w:rsidR="000A15E6">
        <w:rPr>
          <w:color w:val="000000"/>
          <w:bdr w:val="none" w:sz="0" w:space="0" w:color="auto" w:frame="1"/>
          <w:shd w:val="clear" w:color="auto" w:fill="FFFFFF"/>
        </w:rPr>
        <w:t>and of legal liability therefor</w:t>
      </w:r>
      <w:r w:rsidR="00224641">
        <w:rPr>
          <w:color w:val="000000"/>
          <w:bdr w:val="none" w:sz="0" w:space="0" w:color="auto" w:frame="1"/>
          <w:shd w:val="clear" w:color="auto" w:fill="FFFFFF"/>
        </w:rPr>
        <w:t>.”</w:t>
      </w:r>
      <w:r w:rsidR="002B5D80">
        <w:rPr>
          <w:color w:val="000000"/>
          <w:bdr w:val="none" w:sz="0" w:space="0" w:color="auto" w:frame="1"/>
          <w:shd w:val="clear" w:color="auto" w:fill="FFFFFF"/>
        </w:rPr>
        <w:t xml:space="preserve"> </w:t>
      </w:r>
      <w:r w:rsidR="002B5D80">
        <w:rPr>
          <w:i/>
          <w:iCs/>
          <w:color w:val="000000"/>
          <w:bdr w:val="none" w:sz="0" w:space="0" w:color="auto" w:frame="1"/>
          <w:shd w:val="clear" w:color="auto" w:fill="FFFFFF"/>
        </w:rPr>
        <w:t xml:space="preserve">Id. </w:t>
      </w:r>
      <w:r w:rsidR="002B5D80">
        <w:rPr>
          <w:color w:val="000000"/>
          <w:bdr w:val="none" w:sz="0" w:space="0" w:color="auto" w:frame="1"/>
          <w:shd w:val="clear" w:color="auto" w:fill="FFFFFF"/>
        </w:rPr>
        <w:t>at ¶ 3.</w:t>
      </w:r>
    </w:p>
    <w:p w14:paraId="315C3FA3" w14:textId="77777777" w:rsidR="001812D4" w:rsidRDefault="001812D4" w:rsidP="00556BBA">
      <w:pPr>
        <w:jc w:val="both"/>
        <w:rPr>
          <w:color w:val="000000"/>
          <w:bdr w:val="none" w:sz="0" w:space="0" w:color="auto" w:frame="1"/>
          <w:shd w:val="clear" w:color="auto" w:fill="FFFFFF"/>
        </w:rPr>
      </w:pPr>
    </w:p>
    <w:p w14:paraId="76B2CC1E" w14:textId="6EB87D5E" w:rsidR="00817C75" w:rsidRPr="002B5D80" w:rsidRDefault="001812D4" w:rsidP="00556BBA">
      <w:pPr>
        <w:jc w:val="both"/>
        <w:rPr>
          <w:i/>
          <w:iCs/>
          <w:color w:val="000000"/>
          <w:bdr w:val="none" w:sz="0" w:space="0" w:color="auto" w:frame="1"/>
          <w:shd w:val="clear" w:color="auto" w:fill="FFFFFF"/>
        </w:rPr>
      </w:pPr>
      <w:r>
        <w:rPr>
          <w:color w:val="000000"/>
          <w:bdr w:val="none" w:sz="0" w:space="0" w:color="auto" w:frame="1"/>
          <w:shd w:val="clear" w:color="auto" w:fill="FFFFFF"/>
        </w:rPr>
        <w:t>In addition to the warranty, Hamilton agreed to indemnify CSAA against any medical lien</w:t>
      </w:r>
      <w:r w:rsidR="00884E90">
        <w:rPr>
          <w:color w:val="000000"/>
          <w:bdr w:val="none" w:sz="0" w:space="0" w:color="auto" w:frame="1"/>
          <w:shd w:val="clear" w:color="auto" w:fill="FFFFFF"/>
        </w:rPr>
        <w:t xml:space="preserve"> or services. Hamilton was also responsible, per the release, to distribute all funds </w:t>
      </w:r>
      <w:r w:rsidR="00216C99">
        <w:rPr>
          <w:color w:val="000000"/>
          <w:bdr w:val="none" w:sz="0" w:space="0" w:color="auto" w:frame="1"/>
          <w:shd w:val="clear" w:color="auto" w:fill="FFFFFF"/>
        </w:rPr>
        <w:t xml:space="preserve"> to satisfy “</w:t>
      </w:r>
      <w:r w:rsidR="00216C99">
        <w:rPr>
          <w:i/>
          <w:iCs/>
          <w:color w:val="000000"/>
          <w:bdr w:val="none" w:sz="0" w:space="0" w:color="auto" w:frame="1"/>
          <w:shd w:val="clear" w:color="auto" w:fill="FFFFFF"/>
        </w:rPr>
        <w:t>all past, present, or future medical expenses.”</w:t>
      </w:r>
      <w:r w:rsidR="00216C99">
        <w:rPr>
          <w:color w:val="000000"/>
          <w:bdr w:val="none" w:sz="0" w:space="0" w:color="auto" w:frame="1"/>
          <w:shd w:val="clear" w:color="auto" w:fill="FFFFFF"/>
        </w:rPr>
        <w:t xml:space="preserve"> </w:t>
      </w:r>
      <w:r w:rsidR="002B5D80">
        <w:rPr>
          <w:i/>
          <w:iCs/>
          <w:color w:val="000000"/>
          <w:bdr w:val="none" w:sz="0" w:space="0" w:color="auto" w:frame="1"/>
          <w:shd w:val="clear" w:color="auto" w:fill="FFFFFF"/>
        </w:rPr>
        <w:t>Id.</w:t>
      </w:r>
    </w:p>
    <w:p w14:paraId="59DD94DC" w14:textId="4905C04F" w:rsidR="005D107F" w:rsidRPr="002B5D80" w:rsidRDefault="00015246" w:rsidP="00CA67FB">
      <w:pPr>
        <w:jc w:val="both"/>
        <w:rPr>
          <w:iCs/>
          <w:color w:val="000000"/>
          <w:bdr w:val="none" w:sz="0" w:space="0" w:color="auto" w:frame="1"/>
          <w:shd w:val="clear" w:color="auto" w:fill="FFFFFF"/>
        </w:rPr>
      </w:pPr>
      <w:r>
        <w:rPr>
          <w:color w:val="000000"/>
          <w:bdr w:val="none" w:sz="0" w:space="0" w:color="auto" w:frame="1"/>
          <w:shd w:val="clear" w:color="auto" w:fill="FFFFFF"/>
        </w:rPr>
        <w:lastRenderedPageBreak/>
        <w:t xml:space="preserve">Hamilton’s </w:t>
      </w:r>
      <w:r w:rsidR="00CA67FB">
        <w:rPr>
          <w:color w:val="000000"/>
          <w:bdr w:val="none" w:sz="0" w:space="0" w:color="auto" w:frame="1"/>
          <w:shd w:val="clear" w:color="auto" w:fill="FFFFFF"/>
        </w:rPr>
        <w:t xml:space="preserve">medical billing totaled more than </w:t>
      </w:r>
      <w:r w:rsidR="00DF7523">
        <w:rPr>
          <w:color w:val="000000"/>
          <w:bdr w:val="none" w:sz="0" w:space="0" w:color="auto" w:frame="1"/>
          <w:shd w:val="clear" w:color="auto" w:fill="FFFFFF"/>
        </w:rPr>
        <w:t>$60,000</w:t>
      </w:r>
      <w:r w:rsidR="00595857">
        <w:rPr>
          <w:color w:val="000000"/>
          <w:bdr w:val="none" w:sz="0" w:space="0" w:color="auto" w:frame="1"/>
          <w:shd w:val="clear" w:color="auto" w:fill="FFFFFF"/>
        </w:rPr>
        <w:t>.</w:t>
      </w:r>
      <w:r>
        <w:rPr>
          <w:color w:val="000000"/>
          <w:bdr w:val="none" w:sz="0" w:space="0" w:color="auto" w:frame="1"/>
          <w:shd w:val="clear" w:color="auto" w:fill="FFFFFF"/>
        </w:rPr>
        <w:t xml:space="preserve"> </w:t>
      </w:r>
      <w:r w:rsidR="005D107F">
        <w:rPr>
          <w:color w:val="000000"/>
          <w:bdr w:val="none" w:sz="0" w:space="0" w:color="auto" w:frame="1"/>
          <w:shd w:val="clear" w:color="auto" w:fill="FFFFFF"/>
        </w:rPr>
        <w:t xml:space="preserve">In addition to paying </w:t>
      </w:r>
      <w:r w:rsidR="00C76026">
        <w:rPr>
          <w:color w:val="000000"/>
          <w:bdr w:val="none" w:sz="0" w:space="0" w:color="auto" w:frame="1"/>
          <w:shd w:val="clear" w:color="auto" w:fill="FFFFFF"/>
        </w:rPr>
        <w:t>Hamilton the</w:t>
      </w:r>
      <w:r w:rsidR="005D107F">
        <w:rPr>
          <w:color w:val="000000"/>
          <w:bdr w:val="none" w:sz="0" w:space="0" w:color="auto" w:frame="1"/>
          <w:shd w:val="clear" w:color="auto" w:fill="FFFFFF"/>
        </w:rPr>
        <w:t xml:space="preserve"> $7,500, CSAA made partial payments to each </w:t>
      </w:r>
      <w:r w:rsidR="001E610A">
        <w:rPr>
          <w:color w:val="000000"/>
          <w:bdr w:val="none" w:sz="0" w:space="0" w:color="auto" w:frame="1"/>
          <w:shd w:val="clear" w:color="auto" w:fill="FFFFFF"/>
        </w:rPr>
        <w:t>P</w:t>
      </w:r>
      <w:r w:rsidR="005D107F">
        <w:rPr>
          <w:color w:val="000000"/>
          <w:bdr w:val="none" w:sz="0" w:space="0" w:color="auto" w:frame="1"/>
          <w:shd w:val="clear" w:color="auto" w:fill="FFFFFF"/>
        </w:rPr>
        <w:t>rovider</w:t>
      </w:r>
      <w:r w:rsidR="00C76026">
        <w:rPr>
          <w:color w:val="000000"/>
          <w:bdr w:val="none" w:sz="0" w:space="0" w:color="auto" w:frame="1"/>
          <w:shd w:val="clear" w:color="auto" w:fill="FFFFFF"/>
        </w:rPr>
        <w:t xml:space="preserve">. That left a </w:t>
      </w:r>
      <w:r>
        <w:rPr>
          <w:color w:val="000000"/>
          <w:bdr w:val="none" w:sz="0" w:space="0" w:color="auto" w:frame="1"/>
          <w:shd w:val="clear" w:color="auto" w:fill="FFFFFF"/>
        </w:rPr>
        <w:t>total</w:t>
      </w:r>
      <w:r w:rsidR="005D107F">
        <w:rPr>
          <w:color w:val="000000"/>
          <w:bdr w:val="none" w:sz="0" w:space="0" w:color="auto" w:frame="1"/>
          <w:shd w:val="clear" w:color="auto" w:fill="FFFFFF"/>
        </w:rPr>
        <w:t xml:space="preserve"> remaining balance</w:t>
      </w:r>
      <w:r>
        <w:rPr>
          <w:color w:val="000000"/>
          <w:bdr w:val="none" w:sz="0" w:space="0" w:color="auto" w:frame="1"/>
          <w:shd w:val="clear" w:color="auto" w:fill="FFFFFF"/>
        </w:rPr>
        <w:t xml:space="preserve"> of </w:t>
      </w:r>
      <w:r w:rsidR="004071E2">
        <w:rPr>
          <w:color w:val="000000"/>
          <w:bdr w:val="none" w:sz="0" w:space="0" w:color="auto" w:frame="1"/>
          <w:shd w:val="clear" w:color="auto" w:fill="FFFFFF"/>
        </w:rPr>
        <w:t>about $8500</w:t>
      </w:r>
      <w:r w:rsidR="0002527C">
        <w:rPr>
          <w:color w:val="000000"/>
          <w:bdr w:val="none" w:sz="0" w:space="0" w:color="auto" w:frame="1"/>
          <w:shd w:val="clear" w:color="auto" w:fill="FFFFFF"/>
        </w:rPr>
        <w:t>. Despite that</w:t>
      </w:r>
      <w:r w:rsidR="004071E2">
        <w:rPr>
          <w:color w:val="000000"/>
          <w:bdr w:val="none" w:sz="0" w:space="0" w:color="auto" w:frame="1"/>
          <w:shd w:val="clear" w:color="auto" w:fill="FFFFFF"/>
        </w:rPr>
        <w:t xml:space="preserve">, </w:t>
      </w:r>
      <w:r w:rsidR="001E610A">
        <w:rPr>
          <w:color w:val="000000"/>
          <w:bdr w:val="none" w:sz="0" w:space="0" w:color="auto" w:frame="1"/>
          <w:shd w:val="clear" w:color="auto" w:fill="FFFFFF"/>
        </w:rPr>
        <w:t>P</w:t>
      </w:r>
      <w:r w:rsidR="004071E2">
        <w:rPr>
          <w:color w:val="000000"/>
          <w:bdr w:val="none" w:sz="0" w:space="0" w:color="auto" w:frame="1"/>
          <w:shd w:val="clear" w:color="auto" w:fill="FFFFFF"/>
        </w:rPr>
        <w:t xml:space="preserve">roviders sought </w:t>
      </w:r>
      <w:r w:rsidR="0002527C">
        <w:rPr>
          <w:color w:val="000000"/>
          <w:bdr w:val="none" w:sz="0" w:space="0" w:color="auto" w:frame="1"/>
          <w:shd w:val="clear" w:color="auto" w:fill="FFFFFF"/>
        </w:rPr>
        <w:t xml:space="preserve">from CSAA </w:t>
      </w:r>
      <w:r w:rsidR="004071E2">
        <w:rPr>
          <w:color w:val="000000"/>
          <w:bdr w:val="none" w:sz="0" w:space="0" w:color="auto" w:frame="1"/>
          <w:shd w:val="clear" w:color="auto" w:fill="FFFFFF"/>
        </w:rPr>
        <w:t>only the amount paid to Hamilton.</w:t>
      </w:r>
      <w:r w:rsidR="002B5D80">
        <w:rPr>
          <w:color w:val="000000"/>
          <w:bdr w:val="none" w:sz="0" w:space="0" w:color="auto" w:frame="1"/>
          <w:shd w:val="clear" w:color="auto" w:fill="FFFFFF"/>
        </w:rPr>
        <w:t xml:space="preserve"> </w:t>
      </w:r>
      <w:r w:rsidR="002B5D80">
        <w:rPr>
          <w:i/>
          <w:color w:val="000000"/>
          <w:bdr w:val="none" w:sz="0" w:space="0" w:color="auto" w:frame="1"/>
          <w:shd w:val="clear" w:color="auto" w:fill="FFFFFF"/>
        </w:rPr>
        <w:t xml:space="preserve">Id. </w:t>
      </w:r>
      <w:r w:rsidR="002B5D80">
        <w:rPr>
          <w:iCs/>
          <w:color w:val="000000"/>
          <w:bdr w:val="none" w:sz="0" w:space="0" w:color="auto" w:frame="1"/>
          <w:shd w:val="clear" w:color="auto" w:fill="FFFFFF"/>
        </w:rPr>
        <w:t>at ¶ 4</w:t>
      </w:r>
      <w:r w:rsidR="00046222">
        <w:rPr>
          <w:iCs/>
          <w:color w:val="000000"/>
          <w:bdr w:val="none" w:sz="0" w:space="0" w:color="auto" w:frame="1"/>
          <w:shd w:val="clear" w:color="auto" w:fill="FFFFFF"/>
        </w:rPr>
        <w:t>.</w:t>
      </w:r>
    </w:p>
    <w:p w14:paraId="635B8ABB" w14:textId="77777777" w:rsidR="00AA2401" w:rsidRDefault="00AA2401" w:rsidP="00CA67FB">
      <w:pPr>
        <w:jc w:val="both"/>
        <w:rPr>
          <w:color w:val="000000"/>
          <w:bdr w:val="none" w:sz="0" w:space="0" w:color="auto" w:frame="1"/>
          <w:shd w:val="clear" w:color="auto" w:fill="FFFFFF"/>
        </w:rPr>
      </w:pPr>
    </w:p>
    <w:p w14:paraId="1D149E99" w14:textId="28C3FBC9" w:rsidR="00AA2401" w:rsidRDefault="00AA2401" w:rsidP="00CA67FB">
      <w:pPr>
        <w:jc w:val="both"/>
        <w:rPr>
          <w:color w:val="000000"/>
          <w:bdr w:val="none" w:sz="0" w:space="0" w:color="auto" w:frame="1"/>
          <w:shd w:val="clear" w:color="auto" w:fill="FFFFFF"/>
        </w:rPr>
      </w:pPr>
      <w:r>
        <w:rPr>
          <w:color w:val="000000"/>
          <w:bdr w:val="none" w:sz="0" w:space="0" w:color="auto" w:frame="1"/>
          <w:shd w:val="clear" w:color="auto" w:fill="FFFFFF"/>
        </w:rPr>
        <w:t xml:space="preserve">CSAA did not dispute </w:t>
      </w:r>
      <w:r w:rsidR="001E610A">
        <w:rPr>
          <w:color w:val="000000"/>
          <w:bdr w:val="none" w:sz="0" w:space="0" w:color="auto" w:frame="1"/>
          <w:shd w:val="clear" w:color="auto" w:fill="FFFFFF"/>
        </w:rPr>
        <w:t>P</w:t>
      </w:r>
      <w:r>
        <w:rPr>
          <w:color w:val="000000"/>
          <w:bdr w:val="none" w:sz="0" w:space="0" w:color="auto" w:frame="1"/>
          <w:shd w:val="clear" w:color="auto" w:fill="FFFFFF"/>
        </w:rPr>
        <w:t>roviders factual statement and added only two additional facts of its own to the summary judgment record:</w:t>
      </w:r>
    </w:p>
    <w:p w14:paraId="17E60616" w14:textId="77777777" w:rsidR="00AA2401" w:rsidRDefault="00AA2401" w:rsidP="00CA67FB">
      <w:pPr>
        <w:jc w:val="both"/>
        <w:rPr>
          <w:color w:val="000000"/>
          <w:bdr w:val="none" w:sz="0" w:space="0" w:color="auto" w:frame="1"/>
          <w:shd w:val="clear" w:color="auto" w:fill="FFFFFF"/>
        </w:rPr>
      </w:pPr>
    </w:p>
    <w:p w14:paraId="5C09C712" w14:textId="77777777" w:rsidR="00E05533" w:rsidRDefault="00E05533" w:rsidP="009B374B">
      <w:pPr>
        <w:ind w:left="720" w:right="720"/>
        <w:jc w:val="both"/>
      </w:pPr>
      <w:r>
        <w:t>1. In the settlement between Defendant and the claimant, Defendant received an assignment from the claimant, granting Defendant an option to resolve her medical bills itself in any of several ways.</w:t>
      </w:r>
    </w:p>
    <w:p w14:paraId="7E26E563" w14:textId="77777777" w:rsidR="00E05533" w:rsidRDefault="00E05533" w:rsidP="009B374B">
      <w:pPr>
        <w:ind w:left="720" w:right="720"/>
        <w:jc w:val="both"/>
      </w:pPr>
    </w:p>
    <w:p w14:paraId="60AB9C6F" w14:textId="353AFDBA" w:rsidR="00AA2401" w:rsidRDefault="00E05533" w:rsidP="009B374B">
      <w:pPr>
        <w:ind w:left="720" w:right="720"/>
        <w:jc w:val="both"/>
      </w:pPr>
      <w:r>
        <w:t>2. Defendant chose to exercise that option by challenging the correctness and validity of the debt underlying the Plaintiff's claimed lien.</w:t>
      </w:r>
    </w:p>
    <w:p w14:paraId="64026997" w14:textId="77777777" w:rsidR="00046222" w:rsidRDefault="00046222" w:rsidP="00E05533">
      <w:pPr>
        <w:jc w:val="both"/>
      </w:pPr>
    </w:p>
    <w:p w14:paraId="3DE6DE61" w14:textId="798C89E4" w:rsidR="006D0BB3" w:rsidRPr="006D0BB3" w:rsidRDefault="00046222" w:rsidP="00E05533">
      <w:pPr>
        <w:jc w:val="both"/>
      </w:pPr>
      <w:r>
        <w:rPr>
          <w:i/>
          <w:iCs/>
        </w:rPr>
        <w:t xml:space="preserve">Id. </w:t>
      </w:r>
      <w:r>
        <w:t>at ¶</w:t>
      </w:r>
      <w:r w:rsidR="009B374B">
        <w:t>¶</w:t>
      </w:r>
      <w:r>
        <w:t xml:space="preserve"> </w:t>
      </w:r>
      <w:r w:rsidR="009B374B">
        <w:t>5-6.</w:t>
      </w:r>
      <w:r w:rsidR="006D0BB3">
        <w:t xml:space="preserve"> </w:t>
      </w:r>
      <w:r w:rsidR="00E05533">
        <w:t xml:space="preserve">The opinion notes </w:t>
      </w:r>
      <w:r w:rsidR="00316CB5">
        <w:t>“</w:t>
      </w:r>
      <w:r w:rsidR="00E05533">
        <w:t>the record . . . does not support either of these statements.”</w:t>
      </w:r>
      <w:r w:rsidR="009549B9">
        <w:t xml:space="preserve"> </w:t>
      </w:r>
      <w:r w:rsidR="006D0BB3">
        <w:rPr>
          <w:i/>
          <w:iCs/>
        </w:rPr>
        <w:t xml:space="preserve">Id. </w:t>
      </w:r>
      <w:r w:rsidR="006D0BB3">
        <w:t>at ¶ 6.</w:t>
      </w:r>
    </w:p>
    <w:p w14:paraId="2FE9A7FB" w14:textId="77777777" w:rsidR="006D0BB3" w:rsidRDefault="006D0BB3" w:rsidP="00E05533">
      <w:pPr>
        <w:jc w:val="both"/>
      </w:pPr>
    </w:p>
    <w:p w14:paraId="05F05AE5" w14:textId="7AF63BCF" w:rsidR="00E05533" w:rsidRDefault="00CB04DE" w:rsidP="00E05533">
      <w:pPr>
        <w:jc w:val="both"/>
      </w:pPr>
      <w:r>
        <w:t>Per the opinion, th</w:t>
      </w:r>
      <w:r w:rsidR="00F13A32">
        <w:t>e record also did not support CSAA’s claim</w:t>
      </w:r>
      <w:r w:rsidR="00D215E4">
        <w:t>s</w:t>
      </w:r>
      <w:r w:rsidR="003C210F">
        <w:t xml:space="preserve"> </w:t>
      </w:r>
      <w:r w:rsidR="00D215E4">
        <w:t xml:space="preserve">(1) that </w:t>
      </w:r>
      <w:r w:rsidR="003C210F">
        <w:t xml:space="preserve">Ms. Hamilton agreed that the charges were excessive or </w:t>
      </w:r>
      <w:r w:rsidR="00D215E4">
        <w:t>(2) that</w:t>
      </w:r>
      <w:r w:rsidR="003C210F">
        <w:t xml:space="preserve"> she gave CSAA permission to </w:t>
      </w:r>
      <w:r w:rsidR="00C52497">
        <w:t>pay Providers a reduced amount</w:t>
      </w:r>
      <w:r w:rsidR="00046222">
        <w:t xml:space="preserve">. </w:t>
      </w:r>
      <w:r w:rsidR="009B374B">
        <w:rPr>
          <w:i/>
          <w:iCs/>
        </w:rPr>
        <w:t>Id</w:t>
      </w:r>
      <w:r w:rsidR="00C52497">
        <w:rPr>
          <w:i/>
          <w:iCs/>
        </w:rPr>
        <w:t xml:space="preserve">. </w:t>
      </w:r>
      <w:r w:rsidR="00C52497">
        <w:t>at ¶ 7.</w:t>
      </w:r>
      <w:r w:rsidR="006D0BB3">
        <w:t xml:space="preserve"> USAA </w:t>
      </w:r>
      <w:r>
        <w:t xml:space="preserve">had </w:t>
      </w:r>
      <w:r w:rsidR="007011AB">
        <w:t>concluded that th</w:t>
      </w:r>
      <w:r w:rsidR="007A5AC7">
        <w:t>is “conduct” was</w:t>
      </w:r>
      <w:r w:rsidR="007011AB">
        <w:t xml:space="preserve"> evidence of the implied assignment</w:t>
      </w:r>
      <w:r w:rsidR="007A5AC7">
        <w:t xml:space="preserve">. </w:t>
      </w:r>
      <w:r w:rsidR="007A5AC7">
        <w:rPr>
          <w:i/>
          <w:iCs/>
        </w:rPr>
        <w:t xml:space="preserve">Id. </w:t>
      </w:r>
      <w:r w:rsidR="00BF3185">
        <w:t xml:space="preserve">While the Court rejected the factual claims, it also noted that </w:t>
      </w:r>
      <w:r w:rsidR="00EF4741">
        <w:t xml:space="preserve">CSAA cited no legal authority that such “conduct” </w:t>
      </w:r>
      <w:r w:rsidR="000E3A4E">
        <w:t xml:space="preserve">could </w:t>
      </w:r>
      <w:r w:rsidR="0043043D">
        <w:t xml:space="preserve">support “this unique concept of an ‘implied assignment.’” </w:t>
      </w:r>
      <w:r w:rsidR="0043043D">
        <w:rPr>
          <w:i/>
          <w:iCs/>
        </w:rPr>
        <w:t xml:space="preserve">Id. </w:t>
      </w:r>
    </w:p>
    <w:p w14:paraId="64D845D4" w14:textId="77777777" w:rsidR="009B5304" w:rsidRDefault="009B5304" w:rsidP="00E05533">
      <w:pPr>
        <w:jc w:val="both"/>
      </w:pPr>
    </w:p>
    <w:p w14:paraId="6DDE12FF" w14:textId="58C36817" w:rsidR="009B5304" w:rsidRDefault="009B5304" w:rsidP="00E05533">
      <w:pPr>
        <w:jc w:val="both"/>
      </w:pPr>
      <w:r>
        <w:t>The record did show that the release signed by Hamilton showed th</w:t>
      </w:r>
      <w:r w:rsidR="00F96A1B">
        <w:t>e</w:t>
      </w:r>
      <w:r>
        <w:t xml:space="preserve"> reduced amounts paid to Providers.</w:t>
      </w:r>
      <w:r w:rsidR="00211A40">
        <w:t xml:space="preserve"> Though the Court does </w:t>
      </w:r>
      <w:r w:rsidR="00B773EF">
        <w:t xml:space="preserve">not expressly </w:t>
      </w:r>
      <w:r w:rsidR="00211A40">
        <w:t>say as muc</w:t>
      </w:r>
      <w:r w:rsidR="00B773EF">
        <w:t xml:space="preserve">h, that was </w:t>
      </w:r>
      <w:r w:rsidR="00F96A1B">
        <w:t xml:space="preserve">apparently </w:t>
      </w:r>
      <w:r w:rsidR="00B773EF">
        <w:t xml:space="preserve">not enough to prove the claimed assignment. </w:t>
      </w:r>
      <w:r w:rsidR="00B773EF">
        <w:rPr>
          <w:i/>
          <w:iCs/>
        </w:rPr>
        <w:t xml:space="preserve">Id. </w:t>
      </w:r>
      <w:r w:rsidR="00B773EF">
        <w:t xml:space="preserve">at ¶ </w:t>
      </w:r>
      <w:r w:rsidR="00DD7D81">
        <w:t>7</w:t>
      </w:r>
    </w:p>
    <w:p w14:paraId="539B2561" w14:textId="77777777" w:rsidR="00DD7D81" w:rsidRDefault="00DD7D81" w:rsidP="00E05533">
      <w:pPr>
        <w:jc w:val="both"/>
      </w:pPr>
    </w:p>
    <w:p w14:paraId="1529047D" w14:textId="5F867042" w:rsidR="009D1DC1" w:rsidRDefault="00DD7D81" w:rsidP="00E05533">
      <w:pPr>
        <w:jc w:val="both"/>
        <w:rPr>
          <w:i/>
          <w:iCs/>
        </w:rPr>
      </w:pPr>
      <w:r>
        <w:t xml:space="preserve">Additionally, CSAA argued that claims notes and a letter from CSAA to Hamilton transmitting the release also created a fact question </w:t>
      </w:r>
      <w:r w:rsidR="00BA176E">
        <w:t>regarding the claimed assignment. But nothing in these materials “support</w:t>
      </w:r>
      <w:r w:rsidR="005F18ED">
        <w:t>[</w:t>
      </w:r>
      <w:r w:rsidR="00D5367A">
        <w:t xml:space="preserve">ed </w:t>
      </w:r>
      <w:r w:rsidR="005F18ED">
        <w:t xml:space="preserve">the claim] there was any discussion about an assignment.” </w:t>
      </w:r>
      <w:r w:rsidR="005F18ED">
        <w:rPr>
          <w:i/>
          <w:iCs/>
        </w:rPr>
        <w:t xml:space="preserve">Id. </w:t>
      </w:r>
      <w:r w:rsidR="005F18ED">
        <w:t>at ¶ 8</w:t>
      </w:r>
      <w:r w:rsidR="00BB3A69">
        <w:t xml:space="preserve">. At most these materials showed that CSAA told Hamilton that Providers </w:t>
      </w:r>
      <w:r w:rsidR="000233DD">
        <w:t xml:space="preserve">“typically inflate their billing” and that CSAA would only be responsible for the “usual and customary charges.” </w:t>
      </w:r>
      <w:r w:rsidR="000233DD">
        <w:rPr>
          <w:i/>
          <w:iCs/>
        </w:rPr>
        <w:t xml:space="preserve">Id. </w:t>
      </w:r>
      <w:r w:rsidR="000233DD">
        <w:t>But again, there was just no discussion about an assignment.</w:t>
      </w:r>
      <w:r w:rsidR="00B36E5D">
        <w:t xml:space="preserve"> </w:t>
      </w:r>
      <w:r w:rsidR="00B36E5D">
        <w:rPr>
          <w:i/>
          <w:iCs/>
        </w:rPr>
        <w:t xml:space="preserve">Id. </w:t>
      </w:r>
    </w:p>
    <w:p w14:paraId="001BDB64" w14:textId="77777777" w:rsidR="009D1DC1" w:rsidRDefault="009D1DC1" w:rsidP="00E05533">
      <w:pPr>
        <w:jc w:val="both"/>
        <w:rPr>
          <w:i/>
          <w:iCs/>
        </w:rPr>
      </w:pPr>
    </w:p>
    <w:p w14:paraId="2AE9159C" w14:textId="77777777" w:rsidR="00CC4536" w:rsidRDefault="00B36E5D" w:rsidP="00E05533">
      <w:pPr>
        <w:jc w:val="both"/>
        <w:rPr>
          <w:i/>
        </w:rPr>
      </w:pPr>
      <w:r>
        <w:t xml:space="preserve">CSAA also cited to an earlier Court of Civil Appeals case, </w:t>
      </w:r>
      <w:r w:rsidR="009D1DC1" w:rsidRPr="009D1DC1">
        <w:rPr>
          <w:i/>
          <w:iCs/>
        </w:rPr>
        <w:t>Accident Care and Treatment Center v. CSAA General Insurance Co., (Accident Care I</w:t>
      </w:r>
      <w:r w:rsidR="009D1DC1" w:rsidRPr="009D1DC1">
        <w:t>), 2021 OK CIV APP 3, ¶ 37, 483 P.3d 1,</w:t>
      </w:r>
      <w:r w:rsidR="009D1DC1">
        <w:t xml:space="preserve"> </w:t>
      </w:r>
      <w:r w:rsidR="009D1DC1" w:rsidRPr="009D1DC1">
        <w:t>11</w:t>
      </w:r>
      <w:r w:rsidR="009D1DC1">
        <w:t xml:space="preserve">, for the proposition that it </w:t>
      </w:r>
      <w:r w:rsidR="004C11B7">
        <w:t xml:space="preserve">would have the right to contest the charges if there was a valid assignment. </w:t>
      </w:r>
      <w:r w:rsidR="004C11B7">
        <w:rPr>
          <w:i/>
          <w:iCs/>
        </w:rPr>
        <w:t xml:space="preserve">Id. </w:t>
      </w:r>
      <w:r w:rsidR="00986895">
        <w:t xml:space="preserve">Providers agreed with that proposition. </w:t>
      </w:r>
      <w:r w:rsidR="00986895">
        <w:rPr>
          <w:i/>
        </w:rPr>
        <w:t xml:space="preserve">Id. </w:t>
      </w:r>
      <w:r w:rsidR="00986895">
        <w:rPr>
          <w:iCs/>
        </w:rPr>
        <w:t>at ¶ 9.</w:t>
      </w:r>
      <w:r w:rsidR="00EB1E4E">
        <w:rPr>
          <w:iCs/>
        </w:rPr>
        <w:t xml:space="preserve"> But the Providers claimed there was no </w:t>
      </w:r>
      <w:r w:rsidR="00CC4536">
        <w:rPr>
          <w:iCs/>
        </w:rPr>
        <w:t xml:space="preserve">evidence to show an assignment. </w:t>
      </w:r>
      <w:r w:rsidR="00CC4536">
        <w:rPr>
          <w:i/>
        </w:rPr>
        <w:t xml:space="preserve">Id. </w:t>
      </w:r>
    </w:p>
    <w:p w14:paraId="487C215B" w14:textId="77777777" w:rsidR="00CC4536" w:rsidRDefault="00CC4536" w:rsidP="00E05533">
      <w:pPr>
        <w:jc w:val="both"/>
        <w:rPr>
          <w:i/>
        </w:rPr>
      </w:pPr>
    </w:p>
    <w:p w14:paraId="518D75A4" w14:textId="563B49C2" w:rsidR="00DD7D81" w:rsidRDefault="00CC4536" w:rsidP="00E05533">
      <w:pPr>
        <w:jc w:val="both"/>
        <w:rPr>
          <w:iCs/>
        </w:rPr>
      </w:pPr>
      <w:r>
        <w:rPr>
          <w:iCs/>
        </w:rPr>
        <w:t xml:space="preserve">The Court agreed with Providers because an assignment </w:t>
      </w:r>
      <w:r w:rsidR="005D18C0">
        <w:rPr>
          <w:iCs/>
        </w:rPr>
        <w:t xml:space="preserve">“is the </w:t>
      </w:r>
      <w:r w:rsidR="005D18C0">
        <w:rPr>
          <w:i/>
        </w:rPr>
        <w:t xml:space="preserve">expressed intent </w:t>
      </w:r>
      <w:r w:rsidR="005D18C0">
        <w:rPr>
          <w:iCs/>
        </w:rPr>
        <w:t xml:space="preserve">of one party to pass rights owned to another.” </w:t>
      </w:r>
      <w:r w:rsidR="005D18C0">
        <w:rPr>
          <w:i/>
        </w:rPr>
        <w:t xml:space="preserve">Id. </w:t>
      </w:r>
      <w:r w:rsidR="00072D04">
        <w:rPr>
          <w:iCs/>
        </w:rPr>
        <w:t xml:space="preserve">Quoting </w:t>
      </w:r>
      <w:r w:rsidR="00072D04" w:rsidRPr="00072D04">
        <w:rPr>
          <w:i/>
        </w:rPr>
        <w:t>Randall v. Travelers Casualty and Surety Co.,</w:t>
      </w:r>
      <w:r w:rsidR="00072D04" w:rsidRPr="00072D04">
        <w:rPr>
          <w:iCs/>
        </w:rPr>
        <w:t xml:space="preserve"> 2006 OK 65, ¶ 22, 145 P.3d 1048, 1054</w:t>
      </w:r>
      <w:r w:rsidR="00244A0C">
        <w:rPr>
          <w:iCs/>
        </w:rPr>
        <w:t xml:space="preserve">. Emphasis original to </w:t>
      </w:r>
      <w:r w:rsidR="00244A0C">
        <w:rPr>
          <w:i/>
        </w:rPr>
        <w:t>Accident Care</w:t>
      </w:r>
      <w:r w:rsidR="00D23D7D">
        <w:rPr>
          <w:i/>
        </w:rPr>
        <w:t xml:space="preserve"> </w:t>
      </w:r>
      <w:r w:rsidR="00D23D7D">
        <w:rPr>
          <w:iCs/>
        </w:rPr>
        <w:t>but</w:t>
      </w:r>
      <w:r w:rsidR="00244A0C">
        <w:rPr>
          <w:i/>
        </w:rPr>
        <w:t xml:space="preserve"> </w:t>
      </w:r>
      <w:r w:rsidR="00244A0C">
        <w:rPr>
          <w:iCs/>
        </w:rPr>
        <w:t>added</w:t>
      </w:r>
      <w:r w:rsidR="00B4660F">
        <w:rPr>
          <w:iCs/>
        </w:rPr>
        <w:t xml:space="preserve"> </w:t>
      </w:r>
      <w:r w:rsidR="00244A0C">
        <w:rPr>
          <w:iCs/>
        </w:rPr>
        <w:t xml:space="preserve">to </w:t>
      </w:r>
      <w:r w:rsidR="00244A0C">
        <w:rPr>
          <w:i/>
        </w:rPr>
        <w:t>Randall</w:t>
      </w:r>
      <w:r w:rsidR="00072D04" w:rsidRPr="00072D04">
        <w:rPr>
          <w:iCs/>
        </w:rPr>
        <w:t>.</w:t>
      </w:r>
      <w:r w:rsidR="000D2B97">
        <w:rPr>
          <w:iCs/>
        </w:rPr>
        <w:t xml:space="preserve"> </w:t>
      </w:r>
    </w:p>
    <w:p w14:paraId="0BFF65D3" w14:textId="77777777" w:rsidR="009E77EF" w:rsidRDefault="009E77EF" w:rsidP="00E05533">
      <w:pPr>
        <w:jc w:val="both"/>
        <w:rPr>
          <w:iCs/>
        </w:rPr>
      </w:pPr>
    </w:p>
    <w:p w14:paraId="44E7F383" w14:textId="77777777" w:rsidR="00A06DF3" w:rsidRDefault="009E77EF" w:rsidP="00E05533">
      <w:pPr>
        <w:jc w:val="both"/>
        <w:rPr>
          <w:iCs/>
        </w:rPr>
      </w:pPr>
      <w:r>
        <w:rPr>
          <w:iCs/>
        </w:rPr>
        <w:t xml:space="preserve">After the </w:t>
      </w:r>
      <w:r w:rsidR="00E9657A">
        <w:rPr>
          <w:iCs/>
        </w:rPr>
        <w:t xml:space="preserve">above </w:t>
      </w:r>
      <w:r>
        <w:rPr>
          <w:iCs/>
        </w:rPr>
        <w:t>long summary of the record</w:t>
      </w:r>
      <w:r w:rsidR="00E9657A">
        <w:rPr>
          <w:iCs/>
        </w:rPr>
        <w:t xml:space="preserve">, the Court then turned to the trial court proceedings. </w:t>
      </w:r>
      <w:r w:rsidR="002C6A6B">
        <w:rPr>
          <w:iCs/>
        </w:rPr>
        <w:t xml:space="preserve">As noted, the trial court rejected CSAA’s arguments and held that no assignment was contained in </w:t>
      </w:r>
      <w:r w:rsidR="002C6A6B">
        <w:rPr>
          <w:iCs/>
        </w:rPr>
        <w:lastRenderedPageBreak/>
        <w:t xml:space="preserve">the release and </w:t>
      </w:r>
      <w:r w:rsidR="007A79F5">
        <w:rPr>
          <w:iCs/>
        </w:rPr>
        <w:t xml:space="preserve">the Parol Evidence Rule prevented consideration of matters “outside the four corners </w:t>
      </w:r>
      <w:r w:rsidR="00B364B7">
        <w:rPr>
          <w:iCs/>
        </w:rPr>
        <w:t xml:space="preserve">of the [release]. . . .” </w:t>
      </w:r>
      <w:r w:rsidR="00B364B7">
        <w:rPr>
          <w:i/>
        </w:rPr>
        <w:t xml:space="preserve">Id. </w:t>
      </w:r>
      <w:r w:rsidR="00B364B7">
        <w:rPr>
          <w:iCs/>
        </w:rPr>
        <w:t xml:space="preserve">at ¶ 10. </w:t>
      </w:r>
    </w:p>
    <w:p w14:paraId="6CC7F21B" w14:textId="77777777" w:rsidR="00A06DF3" w:rsidRDefault="00A06DF3" w:rsidP="00E05533">
      <w:pPr>
        <w:jc w:val="both"/>
        <w:rPr>
          <w:iCs/>
        </w:rPr>
      </w:pPr>
    </w:p>
    <w:p w14:paraId="6BEB69E2" w14:textId="33A93200" w:rsidR="00DE5A95" w:rsidRDefault="00A06DF3" w:rsidP="00E05533">
      <w:pPr>
        <w:jc w:val="both"/>
        <w:rPr>
          <w:iCs/>
        </w:rPr>
      </w:pPr>
      <w:r>
        <w:rPr>
          <w:iCs/>
        </w:rPr>
        <w:t xml:space="preserve">In the appeal, CSAA </w:t>
      </w:r>
      <w:r w:rsidR="00DE5A95">
        <w:rPr>
          <w:iCs/>
        </w:rPr>
        <w:t>raised two issues</w:t>
      </w:r>
      <w:r w:rsidR="00D03768">
        <w:rPr>
          <w:iCs/>
        </w:rPr>
        <w:t xml:space="preserve"> consist with the facts as stated above</w:t>
      </w:r>
      <w:r w:rsidR="00DE5A95">
        <w:rPr>
          <w:iCs/>
        </w:rPr>
        <w:t xml:space="preserve">: </w:t>
      </w:r>
    </w:p>
    <w:p w14:paraId="4EEF1EC6" w14:textId="77777777" w:rsidR="00DE5A95" w:rsidRDefault="00DE5A95" w:rsidP="00E05533">
      <w:pPr>
        <w:jc w:val="both"/>
        <w:rPr>
          <w:iCs/>
        </w:rPr>
      </w:pPr>
    </w:p>
    <w:p w14:paraId="2DA6DD18" w14:textId="77777777" w:rsidR="00DE5A95" w:rsidRDefault="00DE5A95" w:rsidP="00DE5A95">
      <w:pPr>
        <w:ind w:left="720" w:right="720"/>
        <w:jc w:val="both"/>
        <w:rPr>
          <w:iCs/>
        </w:rPr>
      </w:pPr>
      <w:r w:rsidRPr="00DE5A95">
        <w:rPr>
          <w:iCs/>
        </w:rPr>
        <w:t xml:space="preserve">(1) whether evidence of an implied assignment by one party to another may be found outside the four corners of a Release Contract entered into by those same two parties; and </w:t>
      </w:r>
    </w:p>
    <w:p w14:paraId="4B5FA3B3" w14:textId="77777777" w:rsidR="00DE5A95" w:rsidRDefault="00DE5A95" w:rsidP="00DE5A95">
      <w:pPr>
        <w:ind w:left="720" w:right="720"/>
        <w:jc w:val="both"/>
        <w:rPr>
          <w:iCs/>
        </w:rPr>
      </w:pPr>
    </w:p>
    <w:p w14:paraId="233A5750" w14:textId="757CAF57" w:rsidR="00DE5A95" w:rsidRDefault="00DE5A95" w:rsidP="00DE5A95">
      <w:pPr>
        <w:ind w:left="720" w:right="720"/>
        <w:jc w:val="both"/>
        <w:rPr>
          <w:iCs/>
        </w:rPr>
      </w:pPr>
      <w:r w:rsidRPr="00DE5A95">
        <w:rPr>
          <w:iCs/>
        </w:rPr>
        <w:t>(2) whether the trial court erred in applying the parol evidence rule to preclude evidence that an assignment occurred between those parties which was not memorialized in the Release Agreement between the parties.</w:t>
      </w:r>
    </w:p>
    <w:p w14:paraId="43E3608B" w14:textId="77777777" w:rsidR="00DE5A95" w:rsidRDefault="00DE5A95" w:rsidP="00E05533">
      <w:pPr>
        <w:jc w:val="both"/>
        <w:rPr>
          <w:iCs/>
        </w:rPr>
      </w:pPr>
    </w:p>
    <w:p w14:paraId="17C2867B" w14:textId="04725E55" w:rsidR="006A3681" w:rsidRPr="001C6D9F" w:rsidRDefault="00D03768" w:rsidP="00E05533">
      <w:pPr>
        <w:jc w:val="both"/>
        <w:rPr>
          <w:i/>
        </w:rPr>
      </w:pPr>
      <w:r>
        <w:rPr>
          <w:i/>
        </w:rPr>
        <w:t xml:space="preserve">Id. </w:t>
      </w:r>
      <w:r>
        <w:rPr>
          <w:iCs/>
        </w:rPr>
        <w:t xml:space="preserve">at ¶ </w:t>
      </w:r>
      <w:r w:rsidR="006A3681">
        <w:rPr>
          <w:iCs/>
        </w:rPr>
        <w:t xml:space="preserve">11. Providers responded that CSAA “intentionally violated” the lien statute (42 O.S. </w:t>
      </w:r>
      <w:r w:rsidR="007A56C4">
        <w:rPr>
          <w:iCs/>
        </w:rPr>
        <w:t xml:space="preserve">2011 </w:t>
      </w:r>
      <w:r w:rsidR="006A3681">
        <w:rPr>
          <w:iCs/>
        </w:rPr>
        <w:t xml:space="preserve">§ </w:t>
      </w:r>
      <w:r w:rsidR="007A56C4">
        <w:rPr>
          <w:iCs/>
        </w:rPr>
        <w:t>46(B), by</w:t>
      </w:r>
      <w:r w:rsidR="0035178D">
        <w:rPr>
          <w:iCs/>
        </w:rPr>
        <w:t xml:space="preserve"> settling the claim with knowledge of the liens and then</w:t>
      </w:r>
      <w:r w:rsidR="007A56C4">
        <w:rPr>
          <w:iCs/>
        </w:rPr>
        <w:t xml:space="preserve"> issuing reduced payment checks </w:t>
      </w:r>
      <w:r w:rsidR="0035178D">
        <w:rPr>
          <w:iCs/>
        </w:rPr>
        <w:t xml:space="preserve">to Providers. They also argued that the Parol Evidence Rule applied to preclude </w:t>
      </w:r>
      <w:r w:rsidR="001C6D9F">
        <w:rPr>
          <w:iCs/>
        </w:rPr>
        <w:t xml:space="preserve">evidence extrinsic to the contract. </w:t>
      </w:r>
      <w:r w:rsidR="001C6D9F">
        <w:rPr>
          <w:i/>
        </w:rPr>
        <w:t xml:space="preserve">Id. </w:t>
      </w:r>
    </w:p>
    <w:p w14:paraId="52796DAE" w14:textId="77777777" w:rsidR="006A3681" w:rsidRDefault="006A3681" w:rsidP="00E05533">
      <w:pPr>
        <w:jc w:val="both"/>
        <w:rPr>
          <w:iCs/>
        </w:rPr>
      </w:pPr>
    </w:p>
    <w:p w14:paraId="65B35506" w14:textId="039A8A6F" w:rsidR="009E77EF" w:rsidRDefault="00C20904" w:rsidP="00E05533">
      <w:pPr>
        <w:jc w:val="both"/>
        <w:rPr>
          <w:iCs/>
        </w:rPr>
      </w:pPr>
      <w:r>
        <w:rPr>
          <w:iCs/>
        </w:rPr>
        <w:t>As</w:t>
      </w:r>
      <w:r w:rsidR="00B364B7">
        <w:rPr>
          <w:iCs/>
        </w:rPr>
        <w:t xml:space="preserve"> noted, the COCA reversed and reman</w:t>
      </w:r>
      <w:r w:rsidR="006658C7">
        <w:rPr>
          <w:iCs/>
        </w:rPr>
        <w:t xml:space="preserve">ded for determination of a factual dispute regarding the existence of an implied lien. </w:t>
      </w:r>
      <w:r w:rsidR="006658C7">
        <w:rPr>
          <w:i/>
        </w:rPr>
        <w:t xml:space="preserve">Id. </w:t>
      </w:r>
      <w:r w:rsidR="006658C7">
        <w:rPr>
          <w:iCs/>
        </w:rPr>
        <w:t>at ¶ 13.</w:t>
      </w:r>
    </w:p>
    <w:p w14:paraId="49B6CC65" w14:textId="77777777" w:rsidR="001C6D9F" w:rsidRDefault="001C6D9F" w:rsidP="00E05533">
      <w:pPr>
        <w:jc w:val="both"/>
        <w:rPr>
          <w:iCs/>
        </w:rPr>
      </w:pPr>
    </w:p>
    <w:p w14:paraId="23409D51" w14:textId="7E45445B" w:rsidR="001C6D9F" w:rsidRDefault="00C20904" w:rsidP="00E05533">
      <w:pPr>
        <w:jc w:val="both"/>
        <w:rPr>
          <w:iCs/>
        </w:rPr>
      </w:pPr>
      <w:r>
        <w:rPr>
          <w:iCs/>
        </w:rPr>
        <w:t>Providers sought and obtained</w:t>
      </w:r>
      <w:r w:rsidR="001C6D9F">
        <w:rPr>
          <w:iCs/>
        </w:rPr>
        <w:t xml:space="preserve"> certiorari review</w:t>
      </w:r>
      <w:r>
        <w:rPr>
          <w:iCs/>
        </w:rPr>
        <w:t xml:space="preserve"> by </w:t>
      </w:r>
      <w:r w:rsidR="001C6D9F">
        <w:rPr>
          <w:iCs/>
        </w:rPr>
        <w:t>the Supreme Cour</w:t>
      </w:r>
      <w:r w:rsidR="00BF3850">
        <w:rPr>
          <w:iCs/>
        </w:rPr>
        <w:t xml:space="preserve">t, noting that the COCA relied upon </w:t>
      </w:r>
      <w:r w:rsidR="00BF3850" w:rsidRPr="00364619">
        <w:rPr>
          <w:iCs/>
          <w:u w:val="single"/>
        </w:rPr>
        <w:t>and expanded</w:t>
      </w:r>
      <w:r w:rsidR="00BF3850">
        <w:rPr>
          <w:iCs/>
        </w:rPr>
        <w:t xml:space="preserve"> its earlier decision in </w:t>
      </w:r>
      <w:r w:rsidR="00BF227F">
        <w:rPr>
          <w:i/>
        </w:rPr>
        <w:t xml:space="preserve">Accident Care I </w:t>
      </w:r>
      <w:r w:rsidR="00BF227F">
        <w:rPr>
          <w:iCs/>
        </w:rPr>
        <w:t>which had the effect of usurping the medical lien statute.</w:t>
      </w:r>
      <w:r w:rsidR="00477DE3">
        <w:rPr>
          <w:iCs/>
        </w:rPr>
        <w:t xml:space="preserve"> Providers also argued that </w:t>
      </w:r>
      <w:r w:rsidR="00074CB1">
        <w:rPr>
          <w:i/>
        </w:rPr>
        <w:t xml:space="preserve">Accident Care I </w:t>
      </w:r>
      <w:r w:rsidR="002E75BA">
        <w:rPr>
          <w:iCs/>
        </w:rPr>
        <w:t xml:space="preserve">gives insurers a way to sidestep the lien statute by claiming that virtually any pre-settlement </w:t>
      </w:r>
      <w:r w:rsidR="00515424">
        <w:rPr>
          <w:iCs/>
        </w:rPr>
        <w:t xml:space="preserve">communication “implicitly conveys an assigned right to dispute medical lien amounts.” </w:t>
      </w:r>
      <w:r w:rsidR="00515424">
        <w:rPr>
          <w:i/>
        </w:rPr>
        <w:t>Id.</w:t>
      </w:r>
      <w:r w:rsidR="00C036C8">
        <w:rPr>
          <w:i/>
        </w:rPr>
        <w:t xml:space="preserve"> </w:t>
      </w:r>
      <w:r w:rsidR="00C036C8">
        <w:rPr>
          <w:iCs/>
        </w:rPr>
        <w:t xml:space="preserve">at ¶ 14. Providers raised the concern that such a rule will result in medical providers refusing to </w:t>
      </w:r>
      <w:r w:rsidR="00EF58B8">
        <w:rPr>
          <w:iCs/>
        </w:rPr>
        <w:t xml:space="preserve">provide quick </w:t>
      </w:r>
      <w:r w:rsidR="00C036C8">
        <w:rPr>
          <w:iCs/>
        </w:rPr>
        <w:t>treat</w:t>
      </w:r>
      <w:r w:rsidR="00EF58B8">
        <w:rPr>
          <w:iCs/>
        </w:rPr>
        <w:t>ment for</w:t>
      </w:r>
      <w:r w:rsidR="00C036C8">
        <w:rPr>
          <w:iCs/>
        </w:rPr>
        <w:t xml:space="preserve"> accident victims </w:t>
      </w:r>
      <w:r w:rsidR="00EF58B8">
        <w:rPr>
          <w:iCs/>
        </w:rPr>
        <w:t xml:space="preserve">but will instead require </w:t>
      </w:r>
      <w:r w:rsidR="00DE11D8">
        <w:rPr>
          <w:iCs/>
        </w:rPr>
        <w:t xml:space="preserve">pre-approval by the tortfeasor’s insurer. </w:t>
      </w:r>
      <w:r w:rsidR="00DE11D8">
        <w:rPr>
          <w:i/>
        </w:rPr>
        <w:t xml:space="preserve">Id. </w:t>
      </w:r>
      <w:r w:rsidR="0082320E">
        <w:rPr>
          <w:iCs/>
        </w:rPr>
        <w:t xml:space="preserve">Providers argued that the COCA decision violated </w:t>
      </w:r>
      <w:r w:rsidR="00767DC5">
        <w:rPr>
          <w:iCs/>
        </w:rPr>
        <w:t xml:space="preserve">the following </w:t>
      </w:r>
      <w:r w:rsidR="00884F35">
        <w:rPr>
          <w:iCs/>
        </w:rPr>
        <w:t xml:space="preserve">established </w:t>
      </w:r>
      <w:r w:rsidR="004D474D">
        <w:rPr>
          <w:iCs/>
        </w:rPr>
        <w:t xml:space="preserve">Supreme Court </w:t>
      </w:r>
      <w:r w:rsidR="0082320E">
        <w:rPr>
          <w:iCs/>
        </w:rPr>
        <w:t xml:space="preserve">precedent </w:t>
      </w:r>
      <w:r w:rsidR="004D474D">
        <w:rPr>
          <w:iCs/>
        </w:rPr>
        <w:t xml:space="preserve">on contract law: </w:t>
      </w:r>
    </w:p>
    <w:p w14:paraId="7E647BBD" w14:textId="77777777" w:rsidR="004D474D" w:rsidRDefault="004D474D" w:rsidP="00E05533">
      <w:pPr>
        <w:jc w:val="both"/>
        <w:rPr>
          <w:iCs/>
        </w:rPr>
      </w:pPr>
    </w:p>
    <w:p w14:paraId="0E1AFD18" w14:textId="77777777" w:rsidR="004D474D" w:rsidRDefault="004D474D" w:rsidP="004D474D">
      <w:pPr>
        <w:ind w:left="720" w:right="720"/>
        <w:jc w:val="both"/>
        <w:rPr>
          <w:iCs/>
        </w:rPr>
      </w:pPr>
      <w:r w:rsidRPr="004D474D">
        <w:rPr>
          <w:iCs/>
        </w:rPr>
        <w:t xml:space="preserve">(1) the execution of a contract in writing supersedes all prior oral negotiations concerning its matter, </w:t>
      </w:r>
      <w:r w:rsidRPr="00767DC5">
        <w:rPr>
          <w:i/>
        </w:rPr>
        <w:t>Pitco Prod. Co. v. Chaparral Energy, Inc</w:t>
      </w:r>
      <w:r w:rsidRPr="004D474D">
        <w:rPr>
          <w:iCs/>
        </w:rPr>
        <w:t xml:space="preserve">., 2003 OK 5, ¶ 14, 63 P.3d 541, 546; and </w:t>
      </w:r>
    </w:p>
    <w:p w14:paraId="202D31BA" w14:textId="77777777" w:rsidR="004D474D" w:rsidRDefault="004D474D" w:rsidP="004D474D">
      <w:pPr>
        <w:ind w:left="720" w:right="720"/>
        <w:jc w:val="both"/>
        <w:rPr>
          <w:iCs/>
        </w:rPr>
      </w:pPr>
    </w:p>
    <w:p w14:paraId="4CBCC546" w14:textId="3C6C4203" w:rsidR="004D474D" w:rsidRPr="00DE11D8" w:rsidRDefault="004D474D" w:rsidP="004D474D">
      <w:pPr>
        <w:ind w:left="720" w:right="720"/>
        <w:jc w:val="both"/>
        <w:rPr>
          <w:iCs/>
        </w:rPr>
      </w:pPr>
      <w:r w:rsidRPr="004D474D">
        <w:rPr>
          <w:iCs/>
        </w:rPr>
        <w:t xml:space="preserve">(2) all prior communications are assumed to be part of the written agreement, </w:t>
      </w:r>
      <w:r w:rsidRPr="00767DC5">
        <w:rPr>
          <w:i/>
        </w:rPr>
        <w:t>Ollie v. Rainbolt,</w:t>
      </w:r>
      <w:r w:rsidRPr="004D474D">
        <w:rPr>
          <w:iCs/>
        </w:rPr>
        <w:t xml:space="preserve"> 1983 OK 79, ¶12, 669 P.2d 275, 279 (citing 15 O.S. § 137).</w:t>
      </w:r>
    </w:p>
    <w:p w14:paraId="48B7A222" w14:textId="77777777" w:rsidR="00B773EF" w:rsidRDefault="00B773EF" w:rsidP="00E05533">
      <w:pPr>
        <w:jc w:val="both"/>
      </w:pPr>
    </w:p>
    <w:p w14:paraId="2ACCF836" w14:textId="09DCE9F0" w:rsidR="004D474D" w:rsidRDefault="004D474D" w:rsidP="00E05533">
      <w:pPr>
        <w:jc w:val="both"/>
      </w:pPr>
      <w:r>
        <w:rPr>
          <w:i/>
          <w:iCs/>
        </w:rPr>
        <w:t xml:space="preserve">Id. </w:t>
      </w:r>
      <w:r w:rsidR="00BE2E49">
        <w:t xml:space="preserve">In response, </w:t>
      </w:r>
      <w:r w:rsidR="009C584F">
        <w:t xml:space="preserve">noted the Court, </w:t>
      </w:r>
      <w:r w:rsidR="00BE2E49">
        <w:t xml:space="preserve">CSAA claimed that one of its arguments in </w:t>
      </w:r>
      <w:r w:rsidR="00610B7D">
        <w:rPr>
          <w:i/>
          <w:iCs/>
        </w:rPr>
        <w:t>Accident Care I</w:t>
      </w:r>
      <w:r w:rsidR="00610B7D">
        <w:t xml:space="preserve"> was actually a holding of the COCA</w:t>
      </w:r>
      <w:r w:rsidR="00884F35">
        <w:t xml:space="preserve"> in that case</w:t>
      </w:r>
      <w:r w:rsidR="009C584F">
        <w:t xml:space="preserve">: </w:t>
      </w:r>
    </w:p>
    <w:p w14:paraId="3AE7100B" w14:textId="77777777" w:rsidR="005923A5" w:rsidRDefault="005923A5" w:rsidP="00E05533">
      <w:pPr>
        <w:jc w:val="both"/>
      </w:pPr>
    </w:p>
    <w:p w14:paraId="5CCB934F" w14:textId="26E6902C" w:rsidR="005923A5" w:rsidRDefault="00BD59B1" w:rsidP="005923A5">
      <w:pPr>
        <w:ind w:left="720" w:right="720"/>
        <w:jc w:val="both"/>
      </w:pPr>
      <w:r>
        <w:t xml:space="preserve">CSAA answered that under </w:t>
      </w:r>
      <w:r>
        <w:rPr>
          <w:i/>
          <w:iCs/>
        </w:rPr>
        <w:t xml:space="preserve">Accident Care I, </w:t>
      </w:r>
      <w:r>
        <w:t>the Court of Civil Appeals</w:t>
      </w:r>
      <w:r w:rsidR="00FA5EB4">
        <w:t xml:space="preserve"> ‘</w:t>
      </w:r>
      <w:r w:rsidR="005923A5" w:rsidRPr="005923A5">
        <w:t>in reversing and remanding, reasoned and held in pertinent parts:</w:t>
      </w:r>
      <w:r w:rsidR="00FA5EB4">
        <w:t xml:space="preserve">’ </w:t>
      </w:r>
      <w:r w:rsidR="005923A5" w:rsidRPr="005923A5">
        <w:t>gave CSAA the right to challenge the correctness of the debt because of the extrinsic evidence showing communications [**14]  between Hamilton and CSAA and also simply by the act of Hamilton signing the release she assigned to CSAA her right to contest the amount owed under the liens</w:t>
      </w:r>
      <w:r w:rsidR="005923A5">
        <w:t>.</w:t>
      </w:r>
    </w:p>
    <w:p w14:paraId="309EB45F" w14:textId="77777777" w:rsidR="005923A5" w:rsidRDefault="005923A5" w:rsidP="005923A5">
      <w:pPr>
        <w:ind w:left="720" w:right="720"/>
        <w:jc w:val="both"/>
      </w:pPr>
    </w:p>
    <w:p w14:paraId="1981653A" w14:textId="43A3B07F" w:rsidR="005923A5" w:rsidRDefault="005923A5" w:rsidP="007F5112">
      <w:pPr>
        <w:jc w:val="both"/>
      </w:pPr>
      <w:r>
        <w:rPr>
          <w:i/>
          <w:iCs/>
        </w:rPr>
        <w:t xml:space="preserve">Id. </w:t>
      </w:r>
      <w:r>
        <w:t>at ¶ 15.</w:t>
      </w:r>
      <w:r w:rsidR="00D37CEA">
        <w:t xml:space="preserve"> Again, the Court noted ‘</w:t>
      </w:r>
      <w:r w:rsidR="00602489">
        <w:t xml:space="preserve">The Court of Civil Appeals did not so hold.” </w:t>
      </w:r>
      <w:r w:rsidR="00602489">
        <w:rPr>
          <w:i/>
          <w:iCs/>
        </w:rPr>
        <w:t xml:space="preserve">Id. </w:t>
      </w:r>
      <w:r w:rsidR="00602489">
        <w:t xml:space="preserve">Instead, that court was “simply stating CSAA’s argument on appeal.” </w:t>
      </w:r>
      <w:r w:rsidR="00602489">
        <w:rPr>
          <w:i/>
          <w:iCs/>
        </w:rPr>
        <w:t xml:space="preserve">Id. </w:t>
      </w:r>
      <w:r w:rsidR="00C333F8">
        <w:t xml:space="preserve">CSAA also argued for an extension of </w:t>
      </w:r>
      <w:r w:rsidR="00C333F8">
        <w:rPr>
          <w:i/>
          <w:iCs/>
        </w:rPr>
        <w:t xml:space="preserve">Accident Care </w:t>
      </w:r>
      <w:proofErr w:type="gramStart"/>
      <w:r w:rsidR="00C333F8">
        <w:rPr>
          <w:i/>
          <w:iCs/>
        </w:rPr>
        <w:t>I</w:t>
      </w:r>
      <w:proofErr w:type="gramEnd"/>
      <w:r w:rsidR="00C333F8">
        <w:t xml:space="preserve"> </w:t>
      </w:r>
      <w:r w:rsidR="007203FD">
        <w:t>to hold “the alleged assignment does not have to be clearly writ</w:t>
      </w:r>
      <w:r w:rsidR="00FC3080">
        <w:t>ten</w:t>
      </w:r>
      <w:r w:rsidR="007203FD">
        <w:t xml:space="preserve"> into the release in order to be valid.” </w:t>
      </w:r>
      <w:r w:rsidR="007203FD">
        <w:rPr>
          <w:i/>
          <w:iCs/>
        </w:rPr>
        <w:t xml:space="preserve">Id. </w:t>
      </w:r>
    </w:p>
    <w:p w14:paraId="1FB0F37D" w14:textId="77777777" w:rsidR="00E2318C" w:rsidRDefault="00E2318C" w:rsidP="005923A5">
      <w:pPr>
        <w:ind w:right="720"/>
        <w:jc w:val="both"/>
      </w:pPr>
    </w:p>
    <w:p w14:paraId="73D04549" w14:textId="57484957" w:rsidR="00E2318C" w:rsidRDefault="00CA3663" w:rsidP="007F5112">
      <w:pPr>
        <w:jc w:val="both"/>
      </w:pPr>
      <w:r>
        <w:t>Finally</w:t>
      </w:r>
      <w:r w:rsidR="00E2318C">
        <w:t xml:space="preserve"> the Court issued its opinion, starting with an analysis of the Parol Evidence Rule as set out in 12 O.S. </w:t>
      </w:r>
      <w:r w:rsidR="007F5112">
        <w:t>2011 § 137:</w:t>
      </w:r>
    </w:p>
    <w:p w14:paraId="0FAFAFE2" w14:textId="77777777" w:rsidR="007F5112" w:rsidRDefault="007F5112" w:rsidP="005923A5">
      <w:pPr>
        <w:ind w:right="720"/>
        <w:jc w:val="both"/>
      </w:pPr>
    </w:p>
    <w:p w14:paraId="7C4C6133" w14:textId="4F0C3048" w:rsidR="007F5112" w:rsidRPr="007203FD" w:rsidRDefault="007F5112" w:rsidP="007F5112">
      <w:pPr>
        <w:ind w:left="720" w:right="720"/>
        <w:jc w:val="both"/>
      </w:pPr>
      <w:r w:rsidRPr="007F5112">
        <w:t>The execution of a contract in writing, whether the law requires it to be written or not, supersedes all the oral negotiations or stipulations concerning its matter, which preceded or accompanied the execution of the instrument.</w:t>
      </w:r>
    </w:p>
    <w:p w14:paraId="26442355" w14:textId="77777777" w:rsidR="00B773EF" w:rsidRDefault="00B773EF" w:rsidP="00E05533">
      <w:pPr>
        <w:jc w:val="both"/>
      </w:pPr>
    </w:p>
    <w:p w14:paraId="076EBF3E" w14:textId="12BBA30C" w:rsidR="007F5112" w:rsidRPr="00845B01" w:rsidRDefault="007F5112" w:rsidP="002D6400">
      <w:pPr>
        <w:jc w:val="both"/>
      </w:pPr>
      <w:r>
        <w:rPr>
          <w:i/>
          <w:iCs/>
        </w:rPr>
        <w:t xml:space="preserve">Id. </w:t>
      </w:r>
      <w:r>
        <w:t>at ¶ 18.</w:t>
      </w:r>
      <w:r w:rsidR="00A47998">
        <w:t xml:space="preserve"> The rule was applied to settlement agreements in </w:t>
      </w:r>
      <w:r w:rsidR="00A47998" w:rsidRPr="00A47998">
        <w:rPr>
          <w:i/>
          <w:iCs/>
        </w:rPr>
        <w:t>Beck v. Reynolds,</w:t>
      </w:r>
      <w:r w:rsidR="00A47998" w:rsidRPr="00A47998">
        <w:t xml:space="preserve"> 1995 OK 83, ¶ 8, 903 P.2d 317, 319</w:t>
      </w:r>
      <w:r w:rsidR="00A47998">
        <w:t>: “</w:t>
      </w:r>
      <w:r w:rsidR="003C65E2" w:rsidRPr="003C65E2">
        <w:t xml:space="preserve">Oral evidence was not permitted in </w:t>
      </w:r>
      <w:r w:rsidR="003C65E2" w:rsidRPr="00845B01">
        <w:rPr>
          <w:i/>
          <w:iCs/>
        </w:rPr>
        <w:t>Beck</w:t>
      </w:r>
      <w:r w:rsidR="003C65E2" w:rsidRPr="003C65E2">
        <w:t xml:space="preserve"> to establish a previous contradictory oral agreement.</w:t>
      </w:r>
      <w:r w:rsidR="003C65E2">
        <w:t xml:space="preserve">” </w:t>
      </w:r>
      <w:r w:rsidR="002D6400" w:rsidRPr="002D6400">
        <w:rPr>
          <w:i/>
          <w:iCs/>
        </w:rPr>
        <w:t>Accident Care &amp; Treatment Ctr., Inc.</w:t>
      </w:r>
      <w:r w:rsidR="002D6400">
        <w:rPr>
          <w:i/>
          <w:iCs/>
        </w:rPr>
        <w:t>,</w:t>
      </w:r>
      <w:r w:rsidR="002D6400" w:rsidRPr="002D6400">
        <w:rPr>
          <w:i/>
          <w:iCs/>
        </w:rPr>
        <w:t xml:space="preserve"> </w:t>
      </w:r>
      <w:r w:rsidR="002D6400" w:rsidRPr="00845B01">
        <w:t xml:space="preserve">2023 OK 105, ¶ </w:t>
      </w:r>
      <w:r w:rsidR="00845B01" w:rsidRPr="00845B01">
        <w:t>18.</w:t>
      </w:r>
    </w:p>
    <w:p w14:paraId="1200B867" w14:textId="77777777" w:rsidR="003C65E2" w:rsidRDefault="003C65E2" w:rsidP="00E05533">
      <w:pPr>
        <w:jc w:val="both"/>
      </w:pPr>
    </w:p>
    <w:p w14:paraId="172ECE96" w14:textId="78135636" w:rsidR="003C65E2" w:rsidRDefault="003C65E2" w:rsidP="00E05533">
      <w:pPr>
        <w:jc w:val="both"/>
      </w:pPr>
      <w:r>
        <w:t xml:space="preserve">The Court then applied the rule of </w:t>
      </w:r>
      <w:r>
        <w:rPr>
          <w:i/>
          <w:iCs/>
        </w:rPr>
        <w:t>contra pr</w:t>
      </w:r>
      <w:r w:rsidR="0059238D">
        <w:rPr>
          <w:i/>
          <w:iCs/>
        </w:rPr>
        <w:t>o</w:t>
      </w:r>
      <w:r>
        <w:rPr>
          <w:i/>
          <w:iCs/>
        </w:rPr>
        <w:t>ferent</w:t>
      </w:r>
      <w:r w:rsidR="0059238D">
        <w:rPr>
          <w:i/>
          <w:iCs/>
        </w:rPr>
        <w:t>e</w:t>
      </w:r>
      <w:r>
        <w:rPr>
          <w:i/>
          <w:iCs/>
        </w:rPr>
        <w:t>m</w:t>
      </w:r>
      <w:r w:rsidR="0059238D">
        <w:rPr>
          <w:i/>
          <w:iCs/>
        </w:rPr>
        <w:t xml:space="preserve">. </w:t>
      </w:r>
      <w:r w:rsidR="0059238D">
        <w:t xml:space="preserve">“Contract terms are construed most strongly against the drafter.” </w:t>
      </w:r>
      <w:r w:rsidR="0059238D">
        <w:rPr>
          <w:i/>
          <w:iCs/>
        </w:rPr>
        <w:t xml:space="preserve">Id. </w:t>
      </w:r>
      <w:r w:rsidR="0059238D">
        <w:t>at ¶ 19 (</w:t>
      </w:r>
      <w:r w:rsidR="0031520D">
        <w:t xml:space="preserve">citing </w:t>
      </w:r>
      <w:r w:rsidR="0031520D" w:rsidRPr="0031520D">
        <w:rPr>
          <w:i/>
          <w:iCs/>
        </w:rPr>
        <w:t>McMinn v. City of Oklahoma City,</w:t>
      </w:r>
      <w:r w:rsidR="0031520D" w:rsidRPr="0031520D">
        <w:t xml:space="preserve"> 1997 OK 154, ¶¶ 13-15, 952 P.2d 517, 522</w:t>
      </w:r>
      <w:r w:rsidR="0031520D">
        <w:t xml:space="preserve">). </w:t>
      </w:r>
      <w:r w:rsidR="00DC1559">
        <w:t xml:space="preserve">The rule </w:t>
      </w:r>
      <w:r w:rsidR="009B7AAF">
        <w:t>was created</w:t>
      </w:r>
      <w:r w:rsidR="00641FB4">
        <w:t xml:space="preserve"> because it would be illogical to permit the drafter of a contract to </w:t>
      </w:r>
      <w:r w:rsidR="002C4656">
        <w:t xml:space="preserve">benefit from any ambiguity in the contract. </w:t>
      </w:r>
      <w:r w:rsidR="002C4656">
        <w:rPr>
          <w:i/>
          <w:iCs/>
        </w:rPr>
        <w:t xml:space="preserve">Id. </w:t>
      </w:r>
    </w:p>
    <w:p w14:paraId="03E4BDFD" w14:textId="77777777" w:rsidR="004E48E0" w:rsidRDefault="004E48E0" w:rsidP="00E05533">
      <w:pPr>
        <w:jc w:val="both"/>
      </w:pPr>
    </w:p>
    <w:p w14:paraId="6EE00D4D" w14:textId="3BEFBAD6" w:rsidR="004E48E0" w:rsidRDefault="00476A92" w:rsidP="00E05533">
      <w:pPr>
        <w:jc w:val="both"/>
        <w:rPr>
          <w:i/>
          <w:iCs/>
        </w:rPr>
      </w:pPr>
      <w:r>
        <w:t xml:space="preserve">The Court then intimated that it would be even more unfair to permit the drafter of a contract to claim the benefit of ambiguity in a dispute with a </w:t>
      </w:r>
      <w:r w:rsidR="00E52B8E">
        <w:t xml:space="preserve">third-party stranger to the contract. </w:t>
      </w:r>
      <w:r w:rsidR="00E52B8E">
        <w:rPr>
          <w:i/>
          <w:iCs/>
        </w:rPr>
        <w:t xml:space="preserve">Id. </w:t>
      </w:r>
      <w:r w:rsidR="00E52B8E">
        <w:t>at ¶ 20.</w:t>
      </w:r>
      <w:r w:rsidR="00B342C7">
        <w:t xml:space="preserve"> The Court noted then how carefully CSAA was to include a detailed indemnification clause</w:t>
      </w:r>
      <w:r w:rsidR="005329BA">
        <w:t xml:space="preserve"> binding Hamilton to in</w:t>
      </w:r>
      <w:r w:rsidR="005F137C">
        <w:t>demnify CSAA in the event tha</w:t>
      </w:r>
      <w:r w:rsidR="00940E87">
        <w:t>t</w:t>
      </w:r>
      <w:r w:rsidR="005F137C">
        <w:t xml:space="preserve"> Providers should sue CSAA. </w:t>
      </w:r>
      <w:r w:rsidR="00FB7FDD">
        <w:t xml:space="preserve">In addition to the above, CSAA settled the claim </w:t>
      </w:r>
      <w:r w:rsidR="00F43F9E">
        <w:t xml:space="preserve">without notice to Providers </w:t>
      </w:r>
      <w:r w:rsidR="00FB7FDD">
        <w:t xml:space="preserve">while knowing that </w:t>
      </w:r>
      <w:r w:rsidR="00F43F9E">
        <w:t xml:space="preserve">their liens were not being satisfied. </w:t>
      </w:r>
      <w:r w:rsidR="00F43F9E">
        <w:rPr>
          <w:i/>
          <w:iCs/>
        </w:rPr>
        <w:t xml:space="preserve">Id. </w:t>
      </w:r>
      <w:r w:rsidR="00F43F9E">
        <w:t>Despite that knowledge</w:t>
      </w:r>
      <w:r w:rsidR="00940E87">
        <w:t>,</w:t>
      </w:r>
      <w:r w:rsidR="00F43F9E">
        <w:t xml:space="preserve"> and </w:t>
      </w:r>
      <w:r w:rsidR="00940E87">
        <w:t xml:space="preserve">despite its </w:t>
      </w:r>
      <w:r w:rsidR="00F43F9E">
        <w:t>care in drafting</w:t>
      </w:r>
      <w:r w:rsidR="00940E87">
        <w:t xml:space="preserve"> the indemnification clause</w:t>
      </w:r>
      <w:r w:rsidR="00F43F9E">
        <w:t xml:space="preserve">, </w:t>
      </w:r>
      <w:r w:rsidR="005F137C">
        <w:t xml:space="preserve">CSAA did not include an express assignment. </w:t>
      </w:r>
      <w:r w:rsidR="005F137C">
        <w:rPr>
          <w:i/>
          <w:iCs/>
        </w:rPr>
        <w:t>Id</w:t>
      </w:r>
      <w:r w:rsidR="00FB7FDD">
        <w:rPr>
          <w:i/>
          <w:iCs/>
        </w:rPr>
        <w:t xml:space="preserve">. </w:t>
      </w:r>
      <w:r w:rsidR="00321EE2">
        <w:t>The</w:t>
      </w:r>
      <w:r w:rsidR="00824F40">
        <w:t xml:space="preserve"> release was clear and unambiguous—and did not contain an assignment. </w:t>
      </w:r>
      <w:r w:rsidR="00824F40">
        <w:rPr>
          <w:i/>
          <w:iCs/>
        </w:rPr>
        <w:t xml:space="preserve">Id. </w:t>
      </w:r>
    </w:p>
    <w:p w14:paraId="37CC4E84" w14:textId="77777777" w:rsidR="00824F40" w:rsidRDefault="00824F40" w:rsidP="00E05533">
      <w:pPr>
        <w:jc w:val="both"/>
        <w:rPr>
          <w:i/>
          <w:iCs/>
        </w:rPr>
      </w:pPr>
    </w:p>
    <w:p w14:paraId="2521ACF7" w14:textId="0A254E65" w:rsidR="00824F40" w:rsidRDefault="00824F40" w:rsidP="00E05533">
      <w:pPr>
        <w:jc w:val="both"/>
        <w:rPr>
          <w:i/>
          <w:iCs/>
        </w:rPr>
      </w:pPr>
      <w:r>
        <w:t xml:space="preserve">The Court then noted that </w:t>
      </w:r>
      <w:r w:rsidR="0036406B">
        <w:t xml:space="preserve">even if there were ambiguity, that would be interpreted most strictly against CSAA. </w:t>
      </w:r>
      <w:r w:rsidR="0036406B">
        <w:rPr>
          <w:i/>
          <w:iCs/>
        </w:rPr>
        <w:t xml:space="preserve">Id. </w:t>
      </w:r>
    </w:p>
    <w:p w14:paraId="0302628C" w14:textId="77777777" w:rsidR="00210BBA" w:rsidRDefault="00210BBA" w:rsidP="00E05533">
      <w:pPr>
        <w:jc w:val="both"/>
        <w:rPr>
          <w:i/>
          <w:iCs/>
        </w:rPr>
      </w:pPr>
    </w:p>
    <w:p w14:paraId="3254A913" w14:textId="06173E1B" w:rsidR="00210BBA" w:rsidRDefault="00210BBA" w:rsidP="00E05533">
      <w:pPr>
        <w:jc w:val="both"/>
      </w:pPr>
      <w:r>
        <w:t xml:space="preserve">The above was supported also by the fact that CSAA included the “no promise or inducement” </w:t>
      </w:r>
      <w:r w:rsidR="00CE655D">
        <w:t xml:space="preserve">clause. </w:t>
      </w:r>
      <w:r w:rsidR="00CE655D">
        <w:rPr>
          <w:i/>
          <w:iCs/>
        </w:rPr>
        <w:t xml:space="preserve">Id. </w:t>
      </w:r>
      <w:r w:rsidR="00CE655D">
        <w:t xml:space="preserve">at ¶ 21. The claimed assignment “contradicts </w:t>
      </w:r>
      <w:r w:rsidR="00FB31F5">
        <w:t xml:space="preserve">this provision of the executed settlement release.” </w:t>
      </w:r>
      <w:r w:rsidR="00FB31F5">
        <w:rPr>
          <w:i/>
          <w:iCs/>
        </w:rPr>
        <w:t xml:space="preserve">Id. </w:t>
      </w:r>
      <w:r w:rsidR="00CD5B60">
        <w:t xml:space="preserve">The contract was complete and unambiguous </w:t>
      </w:r>
      <w:r w:rsidR="00562F33">
        <w:t xml:space="preserve">such that the “written words of the document are the only legitimate evidence of the parties’ intention.” </w:t>
      </w:r>
      <w:r w:rsidR="00562F33">
        <w:rPr>
          <w:i/>
          <w:iCs/>
        </w:rPr>
        <w:t>Id.</w:t>
      </w:r>
      <w:r w:rsidR="00D25235">
        <w:rPr>
          <w:i/>
          <w:iCs/>
        </w:rPr>
        <w:t xml:space="preserve"> </w:t>
      </w:r>
      <w:r w:rsidR="00D25235">
        <w:t>(applying the Parol Evidence Rule).</w:t>
      </w:r>
    </w:p>
    <w:p w14:paraId="2BEC6DF5" w14:textId="77777777" w:rsidR="00F524DD" w:rsidRDefault="00F524DD" w:rsidP="00E05533">
      <w:pPr>
        <w:jc w:val="both"/>
      </w:pPr>
    </w:p>
    <w:p w14:paraId="2EF1CB75" w14:textId="5E5FFA24" w:rsidR="00F524DD" w:rsidRPr="00E3592C" w:rsidRDefault="00F524DD" w:rsidP="00E05533">
      <w:pPr>
        <w:jc w:val="both"/>
      </w:pPr>
      <w:r>
        <w:t>The Court then recites the language of the medical lien statute and noted that Providers complied with the statute</w:t>
      </w:r>
      <w:r w:rsidR="00A822CF">
        <w:t>,</w:t>
      </w:r>
      <w:r>
        <w:t xml:space="preserve"> </w:t>
      </w:r>
      <w:r w:rsidR="00662841">
        <w:t xml:space="preserve">as admitted by </w:t>
      </w:r>
      <w:proofErr w:type="gramStart"/>
      <w:r w:rsidR="00662841">
        <w:t>CSAA</w:t>
      </w:r>
      <w:proofErr w:type="gramEnd"/>
      <w:r w:rsidR="00662841">
        <w:t xml:space="preserve"> and as shown by their </w:t>
      </w:r>
      <w:r w:rsidR="00817F55">
        <w:t>compliance with the terms of the statute</w:t>
      </w:r>
      <w:r w:rsidR="00A822CF">
        <w:t>; they</w:t>
      </w:r>
      <w:r w:rsidR="00817F55">
        <w:t xml:space="preserve"> fil</w:t>
      </w:r>
      <w:r w:rsidR="00A822CF">
        <w:t>ed</w:t>
      </w:r>
      <w:r w:rsidR="00817F55">
        <w:t xml:space="preserve"> the liens,</w:t>
      </w:r>
      <w:r w:rsidR="00A822CF">
        <w:t xml:space="preserve"> gave</w:t>
      </w:r>
      <w:r w:rsidR="00817F55">
        <w:t xml:space="preserve"> notice of the liens, and timely fil</w:t>
      </w:r>
      <w:r w:rsidR="00A822CF">
        <w:t>ed</w:t>
      </w:r>
      <w:r w:rsidR="00817F55">
        <w:t xml:space="preserve"> their action after the underlying MVA claim was settled.</w:t>
      </w:r>
      <w:r w:rsidR="00E3592C">
        <w:t xml:space="preserve"> </w:t>
      </w:r>
      <w:r w:rsidR="00E3592C">
        <w:rPr>
          <w:i/>
          <w:iCs/>
        </w:rPr>
        <w:t xml:space="preserve">Id. </w:t>
      </w:r>
      <w:r w:rsidR="00E3592C">
        <w:t>at ¶</w:t>
      </w:r>
      <w:r w:rsidR="00685359">
        <w:t xml:space="preserve"> 22.</w:t>
      </w:r>
    </w:p>
    <w:p w14:paraId="7F306677" w14:textId="77777777" w:rsidR="00817F55" w:rsidRDefault="00817F55" w:rsidP="00E05533">
      <w:pPr>
        <w:jc w:val="both"/>
      </w:pPr>
    </w:p>
    <w:p w14:paraId="3AD28FEE" w14:textId="45DBD469" w:rsidR="00817F55" w:rsidRDefault="0035704E" w:rsidP="00E05533">
      <w:pPr>
        <w:jc w:val="both"/>
        <w:rPr>
          <w:i/>
          <w:iCs/>
        </w:rPr>
      </w:pPr>
      <w:r>
        <w:lastRenderedPageBreak/>
        <w:t>T</w:t>
      </w:r>
      <w:r w:rsidR="00C3214C">
        <w:t xml:space="preserve">he </w:t>
      </w:r>
      <w:r w:rsidR="00C86EA0">
        <w:t xml:space="preserve">Court notes the purpose of the </w:t>
      </w:r>
      <w:r w:rsidR="00C3214C">
        <w:t xml:space="preserve">lien statute to encourage medical providers to </w:t>
      </w:r>
      <w:r w:rsidR="00FF3E23">
        <w:t xml:space="preserve">treat </w:t>
      </w:r>
      <w:r w:rsidR="00C86EA0">
        <w:t xml:space="preserve">injury victims </w:t>
      </w:r>
      <w:r w:rsidR="00FF3E23">
        <w:t xml:space="preserve">who otherwise lack the ability to pay for services. </w:t>
      </w:r>
      <w:r w:rsidR="00E3592C">
        <w:rPr>
          <w:i/>
          <w:iCs/>
        </w:rPr>
        <w:t xml:space="preserve">Id. </w:t>
      </w:r>
      <w:r w:rsidR="00E3592C">
        <w:t xml:space="preserve">at ¶ 23. </w:t>
      </w:r>
      <w:r w:rsidR="00685359">
        <w:t xml:space="preserve">The Court </w:t>
      </w:r>
      <w:r w:rsidR="00B34A34">
        <w:t>then characterized</w:t>
      </w:r>
      <w:r w:rsidR="0021753D">
        <w:t xml:space="preserve"> </w:t>
      </w:r>
      <w:r w:rsidR="00685359">
        <w:t xml:space="preserve">CSAA’s “concern regarding </w:t>
      </w:r>
      <w:r w:rsidR="00CB2B58">
        <w:t>the reasonableness of [the] charges</w:t>
      </w:r>
      <w:r w:rsidR="0021753D">
        <w:t xml:space="preserve">” </w:t>
      </w:r>
      <w:r w:rsidR="00B34A34">
        <w:t xml:space="preserve">as </w:t>
      </w:r>
      <w:r w:rsidR="0021753D">
        <w:t>an attempt “</w:t>
      </w:r>
      <w:r w:rsidR="008E17C4">
        <w:t xml:space="preserve">to thwart the protected interests of those who rendered care to Hamilton.” </w:t>
      </w:r>
      <w:r w:rsidR="008E17C4">
        <w:rPr>
          <w:i/>
          <w:iCs/>
        </w:rPr>
        <w:t xml:space="preserve">Id. </w:t>
      </w:r>
      <w:r w:rsidR="008E17C4">
        <w:t xml:space="preserve">Absent a valid assignment, </w:t>
      </w:r>
      <w:r w:rsidR="00DE69B9">
        <w:t xml:space="preserve">though, </w:t>
      </w:r>
      <w:r w:rsidR="00FE3F09">
        <w:t>“</w:t>
      </w:r>
      <w:r w:rsidR="008E17C4">
        <w:t xml:space="preserve">CSAA </w:t>
      </w:r>
      <w:r w:rsidR="00FE3F09">
        <w:t xml:space="preserve">has no legal standing to raise this argument as a defense to the claims.” </w:t>
      </w:r>
      <w:r w:rsidR="00FE3F09">
        <w:rPr>
          <w:i/>
          <w:iCs/>
        </w:rPr>
        <w:t>Id.</w:t>
      </w:r>
      <w:r w:rsidR="002B01F8">
        <w:rPr>
          <w:i/>
          <w:iCs/>
        </w:rPr>
        <w:t xml:space="preserve"> </w:t>
      </w:r>
    </w:p>
    <w:p w14:paraId="6E21B7CC" w14:textId="77777777" w:rsidR="002B01F8" w:rsidRDefault="002B01F8" w:rsidP="00E05533">
      <w:pPr>
        <w:jc w:val="both"/>
        <w:rPr>
          <w:i/>
          <w:iCs/>
        </w:rPr>
      </w:pPr>
    </w:p>
    <w:p w14:paraId="5455489A" w14:textId="5666A1AB" w:rsidR="002B01F8" w:rsidRPr="002B01F8" w:rsidRDefault="002B01F8" w:rsidP="00E05533">
      <w:pPr>
        <w:jc w:val="both"/>
        <w:rPr>
          <w:u w:val="single"/>
        </w:rPr>
      </w:pPr>
      <w:r>
        <w:t xml:space="preserve">The matter was remanded to the trial court for proceedings consistent with the opinion. </w:t>
      </w:r>
      <w:r>
        <w:rPr>
          <w:i/>
          <w:iCs/>
        </w:rPr>
        <w:t xml:space="preserve">Id. </w:t>
      </w:r>
      <w:r>
        <w:t>at ¶ 25.</w:t>
      </w:r>
    </w:p>
    <w:sectPr w:rsidR="002B01F8" w:rsidRPr="002B01F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4D9A9" w14:textId="77777777" w:rsidR="00B25A18" w:rsidRDefault="00B25A18" w:rsidP="00A1489D">
      <w:r>
        <w:separator/>
      </w:r>
    </w:p>
  </w:endnote>
  <w:endnote w:type="continuationSeparator" w:id="0">
    <w:p w14:paraId="1B67CDC1" w14:textId="77777777" w:rsidR="00B25A18" w:rsidRDefault="00B25A18" w:rsidP="00A14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4833728"/>
      <w:docPartObj>
        <w:docPartGallery w:val="Page Numbers (Bottom of Page)"/>
        <w:docPartUnique/>
      </w:docPartObj>
    </w:sdtPr>
    <w:sdtEndPr>
      <w:rPr>
        <w:noProof/>
      </w:rPr>
    </w:sdtEndPr>
    <w:sdtContent>
      <w:p w14:paraId="3BD7547C" w14:textId="4005CB85" w:rsidR="00791D9E" w:rsidRDefault="00791D9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1F931B5" w14:textId="77777777" w:rsidR="00791D9E" w:rsidRDefault="00791D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6B632" w14:textId="77777777" w:rsidR="00B25A18" w:rsidRDefault="00B25A18" w:rsidP="00A1489D">
      <w:r>
        <w:separator/>
      </w:r>
    </w:p>
  </w:footnote>
  <w:footnote w:type="continuationSeparator" w:id="0">
    <w:p w14:paraId="1AAA79BB" w14:textId="77777777" w:rsidR="00B25A18" w:rsidRDefault="00B25A18" w:rsidP="00A1489D">
      <w:r>
        <w:continuationSeparator/>
      </w:r>
    </w:p>
  </w:footnote>
  <w:footnote w:id="1">
    <w:p w14:paraId="528C32BF" w14:textId="05FACF9C" w:rsidR="00A1489D" w:rsidRDefault="00A1489D" w:rsidP="0071631B">
      <w:pPr>
        <w:pStyle w:val="FootnoteText"/>
      </w:pPr>
      <w:r>
        <w:rPr>
          <w:rStyle w:val="FootnoteReference"/>
        </w:rPr>
        <w:footnoteRef/>
      </w:r>
      <w:r>
        <w:t xml:space="preserve"> </w:t>
      </w:r>
      <w:r w:rsidR="0071631B">
        <w:t>Accident Care and Treatment Center, Inc., Southwest Regional Imaging and Radiology, L.L.C., Injury Recovery Physical Therapy, L.L.C., and Interventional Radiology Associates, L.L.C</w:t>
      </w:r>
      <w:r w:rsidR="0071631B">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E1NbAwsjAzNzA3MjFR0lEKTi0uzszPAykwrAUA4oqPsSwAAAA="/>
  </w:docVars>
  <w:rsids>
    <w:rsidRoot w:val="00AD1CA3"/>
    <w:rsid w:val="00015246"/>
    <w:rsid w:val="000233DD"/>
    <w:rsid w:val="000236F4"/>
    <w:rsid w:val="0002527C"/>
    <w:rsid w:val="00046222"/>
    <w:rsid w:val="00072D04"/>
    <w:rsid w:val="00074CB1"/>
    <w:rsid w:val="000A052C"/>
    <w:rsid w:val="000A15E6"/>
    <w:rsid w:val="000D2B97"/>
    <w:rsid w:val="000E1502"/>
    <w:rsid w:val="000E3A4E"/>
    <w:rsid w:val="0010391A"/>
    <w:rsid w:val="001812D4"/>
    <w:rsid w:val="00195836"/>
    <w:rsid w:val="001C6D9F"/>
    <w:rsid w:val="001E610A"/>
    <w:rsid w:val="00210BBA"/>
    <w:rsid w:val="00211A40"/>
    <w:rsid w:val="00216C99"/>
    <w:rsid w:val="0021753D"/>
    <w:rsid w:val="00224641"/>
    <w:rsid w:val="00244A0C"/>
    <w:rsid w:val="002A167A"/>
    <w:rsid w:val="002B01F8"/>
    <w:rsid w:val="002B5D80"/>
    <w:rsid w:val="002C4656"/>
    <w:rsid w:val="002C6A6B"/>
    <w:rsid w:val="002D6400"/>
    <w:rsid w:val="002E75BA"/>
    <w:rsid w:val="0031520D"/>
    <w:rsid w:val="00316CB5"/>
    <w:rsid w:val="00321EE2"/>
    <w:rsid w:val="00324314"/>
    <w:rsid w:val="003308CB"/>
    <w:rsid w:val="0035178D"/>
    <w:rsid w:val="0035230F"/>
    <w:rsid w:val="00356F19"/>
    <w:rsid w:val="0035704E"/>
    <w:rsid w:val="0036406B"/>
    <w:rsid w:val="00364619"/>
    <w:rsid w:val="0036780C"/>
    <w:rsid w:val="00390D78"/>
    <w:rsid w:val="003C210F"/>
    <w:rsid w:val="003C65E2"/>
    <w:rsid w:val="004071E2"/>
    <w:rsid w:val="0043043D"/>
    <w:rsid w:val="00476A92"/>
    <w:rsid w:val="00477DE3"/>
    <w:rsid w:val="004865C1"/>
    <w:rsid w:val="004B1F86"/>
    <w:rsid w:val="004C11B7"/>
    <w:rsid w:val="004D474D"/>
    <w:rsid w:val="004E1D41"/>
    <w:rsid w:val="004E48E0"/>
    <w:rsid w:val="00505746"/>
    <w:rsid w:val="00515424"/>
    <w:rsid w:val="00525775"/>
    <w:rsid w:val="005329BA"/>
    <w:rsid w:val="00556BBA"/>
    <w:rsid w:val="00562F33"/>
    <w:rsid w:val="0059238D"/>
    <w:rsid w:val="005923A5"/>
    <w:rsid w:val="00595857"/>
    <w:rsid w:val="005D107F"/>
    <w:rsid w:val="005D18C0"/>
    <w:rsid w:val="005D551C"/>
    <w:rsid w:val="005E5A73"/>
    <w:rsid w:val="005F137C"/>
    <w:rsid w:val="005F18ED"/>
    <w:rsid w:val="00602489"/>
    <w:rsid w:val="006038D2"/>
    <w:rsid w:val="00610B7D"/>
    <w:rsid w:val="00641FB4"/>
    <w:rsid w:val="00662841"/>
    <w:rsid w:val="006658C7"/>
    <w:rsid w:val="00685359"/>
    <w:rsid w:val="006A3681"/>
    <w:rsid w:val="006D0BB3"/>
    <w:rsid w:val="007011AB"/>
    <w:rsid w:val="00703D3C"/>
    <w:rsid w:val="0071631B"/>
    <w:rsid w:val="007203FD"/>
    <w:rsid w:val="00752CB0"/>
    <w:rsid w:val="00765B24"/>
    <w:rsid w:val="00767DC5"/>
    <w:rsid w:val="00791D9E"/>
    <w:rsid w:val="007945B0"/>
    <w:rsid w:val="007964E3"/>
    <w:rsid w:val="007A56C4"/>
    <w:rsid w:val="007A5AC7"/>
    <w:rsid w:val="007A79F5"/>
    <w:rsid w:val="007F5112"/>
    <w:rsid w:val="00817C75"/>
    <w:rsid w:val="00817F55"/>
    <w:rsid w:val="0082320E"/>
    <w:rsid w:val="00824F40"/>
    <w:rsid w:val="00834BC3"/>
    <w:rsid w:val="00845B01"/>
    <w:rsid w:val="00882CB8"/>
    <w:rsid w:val="00884E90"/>
    <w:rsid w:val="00884F35"/>
    <w:rsid w:val="00887614"/>
    <w:rsid w:val="0089665F"/>
    <w:rsid w:val="008E17C4"/>
    <w:rsid w:val="00925EC7"/>
    <w:rsid w:val="00932C4A"/>
    <w:rsid w:val="00940E87"/>
    <w:rsid w:val="009549B9"/>
    <w:rsid w:val="00963DDC"/>
    <w:rsid w:val="00986895"/>
    <w:rsid w:val="009B374B"/>
    <w:rsid w:val="009B5304"/>
    <w:rsid w:val="009B7AAF"/>
    <w:rsid w:val="009C584F"/>
    <w:rsid w:val="009D1DC1"/>
    <w:rsid w:val="009E68D7"/>
    <w:rsid w:val="009E77EF"/>
    <w:rsid w:val="00A06DF3"/>
    <w:rsid w:val="00A1489D"/>
    <w:rsid w:val="00A33A22"/>
    <w:rsid w:val="00A4408D"/>
    <w:rsid w:val="00A47998"/>
    <w:rsid w:val="00A51091"/>
    <w:rsid w:val="00A779D3"/>
    <w:rsid w:val="00A822CF"/>
    <w:rsid w:val="00A95A62"/>
    <w:rsid w:val="00AA2401"/>
    <w:rsid w:val="00AB66DB"/>
    <w:rsid w:val="00AD1CA3"/>
    <w:rsid w:val="00B25A18"/>
    <w:rsid w:val="00B342C7"/>
    <w:rsid w:val="00B34A34"/>
    <w:rsid w:val="00B364B7"/>
    <w:rsid w:val="00B36E5D"/>
    <w:rsid w:val="00B4660F"/>
    <w:rsid w:val="00B7015F"/>
    <w:rsid w:val="00B773EF"/>
    <w:rsid w:val="00BA176E"/>
    <w:rsid w:val="00BA7D7C"/>
    <w:rsid w:val="00BB3A69"/>
    <w:rsid w:val="00BD59B1"/>
    <w:rsid w:val="00BE2E49"/>
    <w:rsid w:val="00BF227F"/>
    <w:rsid w:val="00BF3185"/>
    <w:rsid w:val="00BF3850"/>
    <w:rsid w:val="00C036C8"/>
    <w:rsid w:val="00C20904"/>
    <w:rsid w:val="00C3214C"/>
    <w:rsid w:val="00C333F8"/>
    <w:rsid w:val="00C44371"/>
    <w:rsid w:val="00C52497"/>
    <w:rsid w:val="00C524CA"/>
    <w:rsid w:val="00C76026"/>
    <w:rsid w:val="00C86EA0"/>
    <w:rsid w:val="00CA3663"/>
    <w:rsid w:val="00CA366F"/>
    <w:rsid w:val="00CA52C3"/>
    <w:rsid w:val="00CA67FB"/>
    <w:rsid w:val="00CB04DE"/>
    <w:rsid w:val="00CB2B58"/>
    <w:rsid w:val="00CC4536"/>
    <w:rsid w:val="00CD5B60"/>
    <w:rsid w:val="00CE655D"/>
    <w:rsid w:val="00D02352"/>
    <w:rsid w:val="00D03768"/>
    <w:rsid w:val="00D14C51"/>
    <w:rsid w:val="00D215E4"/>
    <w:rsid w:val="00D23D7D"/>
    <w:rsid w:val="00D25235"/>
    <w:rsid w:val="00D37CEA"/>
    <w:rsid w:val="00D5367A"/>
    <w:rsid w:val="00D93553"/>
    <w:rsid w:val="00DB61DF"/>
    <w:rsid w:val="00DC1559"/>
    <w:rsid w:val="00DD7D81"/>
    <w:rsid w:val="00DE11D8"/>
    <w:rsid w:val="00DE5A95"/>
    <w:rsid w:val="00DE69B9"/>
    <w:rsid w:val="00DF7523"/>
    <w:rsid w:val="00E05533"/>
    <w:rsid w:val="00E2318C"/>
    <w:rsid w:val="00E3592C"/>
    <w:rsid w:val="00E52B8E"/>
    <w:rsid w:val="00E9657A"/>
    <w:rsid w:val="00EB1E4E"/>
    <w:rsid w:val="00EC0E7C"/>
    <w:rsid w:val="00EF4741"/>
    <w:rsid w:val="00EF58B8"/>
    <w:rsid w:val="00EF7436"/>
    <w:rsid w:val="00F05FA6"/>
    <w:rsid w:val="00F13A32"/>
    <w:rsid w:val="00F36043"/>
    <w:rsid w:val="00F43F9E"/>
    <w:rsid w:val="00F524DD"/>
    <w:rsid w:val="00F65885"/>
    <w:rsid w:val="00F82C4B"/>
    <w:rsid w:val="00F90255"/>
    <w:rsid w:val="00F96A1B"/>
    <w:rsid w:val="00FA5EB4"/>
    <w:rsid w:val="00FB31F5"/>
    <w:rsid w:val="00FB7FDD"/>
    <w:rsid w:val="00FC3080"/>
    <w:rsid w:val="00FE3F09"/>
    <w:rsid w:val="00FF3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F4527"/>
  <w15:chartTrackingRefBased/>
  <w15:docId w15:val="{2130C808-E334-4CF6-A8F9-77B7D634E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09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qFormat/>
    <w:rsid w:val="00A51091"/>
  </w:style>
  <w:style w:type="character" w:customStyle="1" w:styleId="FootnoteTextChar">
    <w:name w:val="Footnote Text Char"/>
    <w:basedOn w:val="DefaultParagraphFont"/>
    <w:link w:val="FootnoteText"/>
    <w:rsid w:val="00A51091"/>
    <w:rPr>
      <w:sz w:val="24"/>
    </w:rPr>
  </w:style>
  <w:style w:type="character" w:styleId="FootnoteReference">
    <w:name w:val="footnote reference"/>
    <w:uiPriority w:val="99"/>
    <w:rsid w:val="00C44371"/>
    <w:rPr>
      <w:vertAlign w:val="superscript"/>
    </w:rPr>
  </w:style>
  <w:style w:type="paragraph" w:styleId="Header">
    <w:name w:val="header"/>
    <w:basedOn w:val="Normal"/>
    <w:link w:val="HeaderChar"/>
    <w:uiPriority w:val="99"/>
    <w:unhideWhenUsed/>
    <w:rsid w:val="00791D9E"/>
    <w:pPr>
      <w:tabs>
        <w:tab w:val="center" w:pos="4680"/>
        <w:tab w:val="right" w:pos="9360"/>
      </w:tabs>
    </w:pPr>
  </w:style>
  <w:style w:type="character" w:customStyle="1" w:styleId="HeaderChar">
    <w:name w:val="Header Char"/>
    <w:basedOn w:val="DefaultParagraphFont"/>
    <w:link w:val="Header"/>
    <w:uiPriority w:val="99"/>
    <w:rsid w:val="00791D9E"/>
  </w:style>
  <w:style w:type="paragraph" w:styleId="Footer">
    <w:name w:val="footer"/>
    <w:basedOn w:val="Normal"/>
    <w:link w:val="FooterChar"/>
    <w:uiPriority w:val="99"/>
    <w:unhideWhenUsed/>
    <w:rsid w:val="00791D9E"/>
    <w:pPr>
      <w:tabs>
        <w:tab w:val="center" w:pos="4680"/>
        <w:tab w:val="right" w:pos="9360"/>
      </w:tabs>
    </w:pPr>
  </w:style>
  <w:style w:type="character" w:customStyle="1" w:styleId="FooterChar">
    <w:name w:val="Footer Char"/>
    <w:basedOn w:val="DefaultParagraphFont"/>
    <w:link w:val="Footer"/>
    <w:uiPriority w:val="99"/>
    <w:rsid w:val="00791D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DBB8E9-D153-46B9-9B61-2936276E2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5</Pages>
  <Words>1846</Words>
  <Characters>10523</Characters>
  <Application>Microsoft Office Word</Application>
  <DocSecurity>0</DocSecurity>
  <Lines>87</Lines>
  <Paragraphs>24</Paragraphs>
  <ScaleCrop>false</ScaleCrop>
  <Company/>
  <LinksUpToDate>false</LinksUpToDate>
  <CharactersWithSpaces>12345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Kouri</dc:creator>
  <cp:keywords/>
  <dc:description/>
  <cp:lastModifiedBy>Paul Kouri</cp:lastModifiedBy>
  <cp:revision>197</cp:revision>
  <dcterms:created xsi:type="dcterms:W3CDTF">2023-11-15T19:40:00Z</dcterms:created>
  <dcterms:modified xsi:type="dcterms:W3CDTF">2023-11-15T22:02:00Z</dcterms:modified>
</cp:coreProperties>
</file>