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0890" w14:textId="0AAEF89B" w:rsidR="000236F4" w:rsidRDefault="00A247FE" w:rsidP="00A247FE">
      <w:pPr>
        <w:jc w:val="center"/>
      </w:pPr>
      <w:r w:rsidRPr="00A247FE">
        <w:rPr>
          <w:i/>
          <w:iCs/>
        </w:rPr>
        <w:t>In re Est. of Williams v. Welsh,</w:t>
      </w:r>
      <w:r w:rsidRPr="00A247FE">
        <w:t xml:space="preserve"> 2023 OK 103</w:t>
      </w:r>
      <w:r w:rsidR="001705D9">
        <w:t>, __ P.3d __</w:t>
      </w:r>
    </w:p>
    <w:p w14:paraId="65F2B546" w14:textId="77777777" w:rsidR="001705D9" w:rsidRDefault="001705D9" w:rsidP="00A247FE">
      <w:pPr>
        <w:jc w:val="center"/>
      </w:pPr>
    </w:p>
    <w:p w14:paraId="339533BC" w14:textId="056709FE" w:rsidR="001705D9" w:rsidRPr="00B23A01" w:rsidRDefault="001705D9" w:rsidP="001705D9">
      <w:pPr>
        <w:jc w:val="both"/>
      </w:pPr>
      <w:r>
        <w:tab/>
      </w:r>
      <w:r>
        <w:rPr>
          <w:i/>
          <w:iCs/>
        </w:rPr>
        <w:t xml:space="preserve">In re Estate of Williams </w:t>
      </w:r>
      <w:r w:rsidR="006019B7">
        <w:t xml:space="preserve">answers the </w:t>
      </w:r>
      <w:r w:rsidR="00997B24">
        <w:t xml:space="preserve">first impression </w:t>
      </w:r>
      <w:r w:rsidR="006019B7">
        <w:t xml:space="preserve">question whether wrongful death proceeds can be transferred into a trust before </w:t>
      </w:r>
      <w:r w:rsidR="00BF05E5">
        <w:t>they are obtained by the trust settlor</w:t>
      </w:r>
      <w:r w:rsidR="00B716D9">
        <w:t>. The Court answers that they can, and if they are, they belong to the trust.</w:t>
      </w:r>
      <w:r w:rsidR="00B23A01">
        <w:t xml:space="preserve"> </w:t>
      </w:r>
      <w:r w:rsidR="00B23A01">
        <w:rPr>
          <w:i/>
          <w:iCs/>
        </w:rPr>
        <w:t xml:space="preserve">Id. </w:t>
      </w:r>
      <w:r w:rsidR="00B23A01">
        <w:t xml:space="preserve">at ¶ </w:t>
      </w:r>
      <w:r w:rsidR="00997B24">
        <w:t>1</w:t>
      </w:r>
      <w:r w:rsidR="006D2ADC">
        <w:t>.</w:t>
      </w:r>
    </w:p>
    <w:p w14:paraId="395ABFF1" w14:textId="77777777" w:rsidR="00B716D9" w:rsidRDefault="00B716D9" w:rsidP="001705D9">
      <w:pPr>
        <w:jc w:val="both"/>
      </w:pPr>
    </w:p>
    <w:p w14:paraId="47BBAC8B" w14:textId="0A4EF3A0" w:rsidR="00B716D9" w:rsidRDefault="00B716D9" w:rsidP="001705D9">
      <w:pPr>
        <w:jc w:val="both"/>
      </w:pPr>
      <w:r>
        <w:tab/>
        <w:t xml:space="preserve">The Court characterizes the </w:t>
      </w:r>
      <w:r w:rsidR="00B23A01">
        <w:t>“cause” as “concern[</w:t>
      </w:r>
      <w:proofErr w:type="spellStart"/>
      <w:r w:rsidR="00B23A01">
        <w:t>ing</w:t>
      </w:r>
      <w:proofErr w:type="spellEnd"/>
      <w:r w:rsidR="00B23A01">
        <w:t xml:space="preserve">] a lengthy, convoluted </w:t>
      </w:r>
      <w:r w:rsidR="00997B24">
        <w:t>court battle over the estate of Kath</w:t>
      </w:r>
      <w:r w:rsidR="002D3B7C">
        <w:t>a</w:t>
      </w:r>
      <w:r w:rsidR="00997B24">
        <w:t xml:space="preserve"> Williams</w:t>
      </w:r>
      <w:r w:rsidR="003856B9">
        <w:t xml:space="preserve"> . . . and the distribution of her interest of $1,178,157.44 from a wrongful death </w:t>
      </w:r>
      <w:r w:rsidR="00B825E4">
        <w:t xml:space="preserve">lawsuit involving her son. . . .” </w:t>
      </w:r>
      <w:r w:rsidR="00B825E4">
        <w:rPr>
          <w:i/>
          <w:iCs/>
        </w:rPr>
        <w:t xml:space="preserve">Id. </w:t>
      </w:r>
      <w:r w:rsidR="00B825E4">
        <w:t>at ¶ 2.</w:t>
      </w:r>
      <w:r w:rsidR="0082439B">
        <w:t xml:space="preserve"> </w:t>
      </w:r>
      <w:r w:rsidR="00633B90">
        <w:t xml:space="preserve">That characterization </w:t>
      </w:r>
      <w:r w:rsidR="0064431F">
        <w:t>was</w:t>
      </w:r>
      <w:r w:rsidR="00633B90">
        <w:t xml:space="preserve"> an understatement.</w:t>
      </w:r>
    </w:p>
    <w:p w14:paraId="201CBD0C" w14:textId="77777777" w:rsidR="00C17C37" w:rsidRDefault="00C17C37" w:rsidP="001705D9">
      <w:pPr>
        <w:jc w:val="both"/>
      </w:pPr>
    </w:p>
    <w:p w14:paraId="08F3F971" w14:textId="17972F3A" w:rsidR="00C17C37" w:rsidRPr="00067282" w:rsidRDefault="00C17C37" w:rsidP="001705D9">
      <w:pPr>
        <w:jc w:val="both"/>
      </w:pPr>
      <w:r>
        <w:tab/>
        <w:t xml:space="preserve">The William’s son, Elliot died in </w:t>
      </w:r>
      <w:r w:rsidR="002744EA">
        <w:t xml:space="preserve">jail </w:t>
      </w:r>
      <w:r w:rsidR="009361CD">
        <w:t xml:space="preserve">in 2011 </w:t>
      </w:r>
      <w:r w:rsidR="002744EA">
        <w:t>after being arrested by Owasso police for causing a disturbance</w:t>
      </w:r>
      <w:r w:rsidR="00633B90">
        <w:t xml:space="preserve"> (h</w:t>
      </w:r>
      <w:r w:rsidR="00DD4961">
        <w:t xml:space="preserve">e </w:t>
      </w:r>
      <w:r w:rsidR="0064431F">
        <w:t xml:space="preserve">was paralyzed </w:t>
      </w:r>
      <w:r w:rsidR="00DD4961">
        <w:t xml:space="preserve">from a neck injury while in the jail </w:t>
      </w:r>
      <w:r w:rsidR="0064431F">
        <w:t>and</w:t>
      </w:r>
      <w:r w:rsidR="00DD4961">
        <w:t xml:space="preserve"> treatment</w:t>
      </w:r>
      <w:r w:rsidR="003A4001">
        <w:t xml:space="preserve"> </w:t>
      </w:r>
      <w:r w:rsidR="0064431F">
        <w:t>was withheld resulting in  his death</w:t>
      </w:r>
      <w:r w:rsidR="00633B90">
        <w:t>)</w:t>
      </w:r>
      <w:r w:rsidR="00071CFA">
        <w:t xml:space="preserve">. </w:t>
      </w:r>
      <w:r w:rsidR="00D501BF">
        <w:t xml:space="preserve">Elliot was married at the time but had no children. </w:t>
      </w:r>
      <w:r w:rsidR="00071CFA">
        <w:t xml:space="preserve">Both his probate and a wrongful death action were filed the same day—the probate in Tulsa County, the </w:t>
      </w:r>
      <w:r w:rsidR="0059136D">
        <w:t>death action in the Northern District federal court, naming the Tulsa County Sheriff</w:t>
      </w:r>
      <w:r w:rsidR="00D501BF">
        <w:t xml:space="preserve"> as defendant.</w:t>
      </w:r>
      <w:r w:rsidR="00726453">
        <w:t xml:space="preserve"> Per the wrongful death statute, 12 O.S. § 1053, </w:t>
      </w:r>
      <w:r w:rsidR="00FC00D4">
        <w:t>damages under such circumstances (where the decedent has a surviving spouse and parents, but no children) are distributed to the spouse and parents</w:t>
      </w:r>
      <w:r w:rsidR="00067282">
        <w:t xml:space="preserve">—in accordance with </w:t>
      </w:r>
      <w:r w:rsidR="00E20896">
        <w:t xml:space="preserve">Oklahoma’s </w:t>
      </w:r>
      <w:r w:rsidR="000C3DCE">
        <w:t xml:space="preserve">law </w:t>
      </w:r>
      <w:r w:rsidR="00E20896">
        <w:t xml:space="preserve">of descent and distribution, </w:t>
      </w:r>
      <w:r w:rsidR="000C3DCE">
        <w:t>set out in 84 O.S. § 213.</w:t>
      </w:r>
      <w:r w:rsidR="00067282">
        <w:t xml:space="preserve"> </w:t>
      </w:r>
      <w:r w:rsidR="00067282">
        <w:rPr>
          <w:i/>
          <w:iCs/>
        </w:rPr>
        <w:t xml:space="preserve">Id. </w:t>
      </w:r>
      <w:r w:rsidR="00067282">
        <w:t xml:space="preserve">at ¶ </w:t>
      </w:r>
      <w:r w:rsidR="002E2F0C">
        <w:t>4.</w:t>
      </w:r>
    </w:p>
    <w:p w14:paraId="29142864" w14:textId="77777777" w:rsidR="009361CD" w:rsidRDefault="009361CD" w:rsidP="001705D9">
      <w:pPr>
        <w:jc w:val="both"/>
      </w:pPr>
    </w:p>
    <w:p w14:paraId="7FE42FB3" w14:textId="07C5AAE9" w:rsidR="001200EB" w:rsidRDefault="009361CD" w:rsidP="001705D9">
      <w:pPr>
        <w:jc w:val="both"/>
      </w:pPr>
      <w:r>
        <w:tab/>
        <w:t xml:space="preserve">In 2014, </w:t>
      </w:r>
      <w:r w:rsidR="00581645">
        <w:t xml:space="preserve">Katha </w:t>
      </w:r>
      <w:r>
        <w:t>W</w:t>
      </w:r>
      <w:r w:rsidR="00463A92">
        <w:t>illiam</w:t>
      </w:r>
      <w:r w:rsidR="00581645">
        <w:t>s and her husband</w:t>
      </w:r>
      <w:r w:rsidR="00463A92">
        <w:t xml:space="preserve"> </w:t>
      </w:r>
      <w:r w:rsidR="002E2F0C">
        <w:t xml:space="preserve">(Elliot’s parents) </w:t>
      </w:r>
      <w:r w:rsidR="00463A92">
        <w:t>established a family trust</w:t>
      </w:r>
      <w:r w:rsidR="00473F75">
        <w:t xml:space="preserve"> and</w:t>
      </w:r>
      <w:r w:rsidR="00C5429A">
        <w:t xml:space="preserve"> each also </w:t>
      </w:r>
      <w:r w:rsidR="00473F75">
        <w:t>executed wills leaving each of their estates to the trust</w:t>
      </w:r>
      <w:r w:rsidR="00420505">
        <w:t>. Both wills</w:t>
      </w:r>
      <w:r w:rsidR="001E0390">
        <w:t xml:space="preserve"> </w:t>
      </w:r>
      <w:r w:rsidR="00473F75">
        <w:t>list</w:t>
      </w:r>
      <w:r w:rsidR="001E0390">
        <w:t>ed</w:t>
      </w:r>
      <w:r w:rsidR="00473F75">
        <w:t xml:space="preserve"> </w:t>
      </w:r>
      <w:r w:rsidR="00931781">
        <w:t>“</w:t>
      </w:r>
      <w:r w:rsidR="00473F75">
        <w:t>heirs</w:t>
      </w:r>
      <w:r w:rsidR="001E0390">
        <w:t>,</w:t>
      </w:r>
      <w:r w:rsidR="00931781">
        <w:t>”</w:t>
      </w:r>
      <w:r w:rsidR="00473F75">
        <w:t xml:space="preserve"> including </w:t>
      </w:r>
      <w:r w:rsidR="00DA1B09">
        <w:t>each other as “spouse</w:t>
      </w:r>
      <w:r w:rsidR="001E0390">
        <w:t>,</w:t>
      </w:r>
      <w:r w:rsidR="00DA1B09">
        <w:t>” their eight living children</w:t>
      </w:r>
      <w:r w:rsidR="001E0390">
        <w:t>, and</w:t>
      </w:r>
      <w:r w:rsidR="00DA1B09">
        <w:t xml:space="preserve"> the decease</w:t>
      </w:r>
      <w:r w:rsidR="00032D1B">
        <w:t>d</w:t>
      </w:r>
      <w:r w:rsidR="00DA1B09">
        <w:t xml:space="preserve"> Elliot.</w:t>
      </w:r>
      <w:r w:rsidR="001200EB">
        <w:t xml:space="preserve"> </w:t>
      </w:r>
      <w:r w:rsidR="001C32CF">
        <w:t>Several months after the trust and wills were created, Katha Williams died</w:t>
      </w:r>
      <w:r w:rsidR="00E97286">
        <w:t xml:space="preserve">. </w:t>
      </w:r>
    </w:p>
    <w:p w14:paraId="51655214" w14:textId="77777777" w:rsidR="001200EB" w:rsidRDefault="001200EB" w:rsidP="001705D9">
      <w:pPr>
        <w:jc w:val="both"/>
      </w:pPr>
    </w:p>
    <w:p w14:paraId="0E51FDF7" w14:textId="27F8157F" w:rsidR="00D16503" w:rsidRDefault="00E97286" w:rsidP="001200EB">
      <w:pPr>
        <w:ind w:firstLine="720"/>
        <w:jc w:val="both"/>
      </w:pPr>
      <w:r>
        <w:t xml:space="preserve">Three years later, </w:t>
      </w:r>
      <w:r w:rsidR="001200EB">
        <w:t>final judgment was entered on a</w:t>
      </w:r>
      <w:r>
        <w:t xml:space="preserve"> </w:t>
      </w:r>
      <w:r w:rsidR="001200EB">
        <w:t xml:space="preserve">jury verdict in the wrongful death action for </w:t>
      </w:r>
      <w:r>
        <w:t xml:space="preserve">$10 million </w:t>
      </w:r>
      <w:r w:rsidR="001200EB">
        <w:t xml:space="preserve">in </w:t>
      </w:r>
      <w:r w:rsidR="005551E0">
        <w:t xml:space="preserve">compensatory damages and $250,000 in punitive damages. </w:t>
      </w:r>
      <w:r w:rsidR="001200EB">
        <w:t xml:space="preserve">The next day, </w:t>
      </w:r>
      <w:r w:rsidR="00032D1B">
        <w:t>a d</w:t>
      </w:r>
      <w:r w:rsidR="00BC088D">
        <w:t>aughter</w:t>
      </w:r>
      <w:r w:rsidR="001200EB">
        <w:t xml:space="preserve"> filed Katha’s probate </w:t>
      </w:r>
      <w:r w:rsidR="00B05D8C">
        <w:t xml:space="preserve">in Tulsa County. The court admitted Katha’s will to probate and issued letters </w:t>
      </w:r>
      <w:r w:rsidR="00DD4F84">
        <w:t xml:space="preserve">testamentary appointing the daughter as personal representative. </w:t>
      </w:r>
      <w:r w:rsidR="00EA76CE">
        <w:t>About two years later, the Tenth Circuit affirmed in part and reversed in part the wrongful death judgment</w:t>
      </w:r>
      <w:r w:rsidR="005E5279">
        <w:t xml:space="preserve"> (the reversal merely gave the Sheriff a set-off). </w:t>
      </w:r>
      <w:r w:rsidR="00D16503">
        <w:t>The parties then settled the wrongful death action for $10 million</w:t>
      </w:r>
      <w:r w:rsidR="00AB49FD">
        <w:t>,</w:t>
      </w:r>
      <w:r w:rsidR="00D16503">
        <w:t xml:space="preserve"> plus post-judgment interest.</w:t>
      </w:r>
    </w:p>
    <w:p w14:paraId="68039114" w14:textId="77777777" w:rsidR="00D16503" w:rsidRDefault="00D16503" w:rsidP="001200EB">
      <w:pPr>
        <w:ind w:firstLine="720"/>
        <w:jc w:val="both"/>
      </w:pPr>
    </w:p>
    <w:p w14:paraId="092AD3AD" w14:textId="70D99132" w:rsidR="004F4F87" w:rsidRDefault="00D16503" w:rsidP="00342D11">
      <w:pPr>
        <w:ind w:firstLine="720"/>
        <w:jc w:val="both"/>
      </w:pPr>
      <w:r>
        <w:t>“At some point</w:t>
      </w:r>
      <w:r w:rsidR="00C42676">
        <w:t xml:space="preserve">” in 2017 (the Court notes </w:t>
      </w:r>
      <w:r w:rsidR="00AB49FD">
        <w:t xml:space="preserve">that </w:t>
      </w:r>
      <w:r w:rsidR="00C42676">
        <w:t>the record is unclear), Katha’s husband was placed under a guardianship in Tulsa County</w:t>
      </w:r>
      <w:r w:rsidR="00720CA7">
        <w:t xml:space="preserve">. He died in 2019—after the </w:t>
      </w:r>
      <w:r w:rsidR="00366984">
        <w:t xml:space="preserve">Tenth Circuit decided the appeal in the wrongful death action, but before that case was settled post appeal. The </w:t>
      </w:r>
      <w:r w:rsidR="00833D6E">
        <w:t xml:space="preserve">same daughter then probated his estate as well. The husband’s will was attached, listing the same </w:t>
      </w:r>
      <w:r w:rsidR="001B57BA">
        <w:t>eight living children and the deceased Elliot</w:t>
      </w:r>
      <w:r w:rsidR="00AB49FD">
        <w:t>,</w:t>
      </w:r>
      <w:r w:rsidR="001B57BA">
        <w:t xml:space="preserve"> as </w:t>
      </w:r>
      <w:r w:rsidR="00AB49FD">
        <w:t>in</w:t>
      </w:r>
      <w:r w:rsidR="001B57BA">
        <w:t xml:space="preserve"> Katha’s will.</w:t>
      </w:r>
      <w:r w:rsidR="00342D11">
        <w:t xml:space="preserve"> </w:t>
      </w:r>
      <w:r w:rsidR="004F4F87">
        <w:t xml:space="preserve">On January 6, 2020, the trial court appointed the daughter as personal representative of her father’s estate. </w:t>
      </w:r>
      <w:r w:rsidR="00856B73">
        <w:t xml:space="preserve">“At this point, Elliot’s, Katha’s, and Earl’s [Katha’s husband] estates were all still pending.” </w:t>
      </w:r>
      <w:r w:rsidR="00856B73">
        <w:rPr>
          <w:i/>
          <w:iCs/>
        </w:rPr>
        <w:t>Id.</w:t>
      </w:r>
      <w:r w:rsidR="00856B73">
        <w:t xml:space="preserve"> at ¶ </w:t>
      </w:r>
      <w:r w:rsidR="007D120B">
        <w:t>8.</w:t>
      </w:r>
    </w:p>
    <w:p w14:paraId="402D5F0D" w14:textId="77777777" w:rsidR="00BD75C1" w:rsidRDefault="00BD75C1" w:rsidP="001200EB">
      <w:pPr>
        <w:ind w:firstLine="720"/>
        <w:jc w:val="both"/>
      </w:pPr>
    </w:p>
    <w:p w14:paraId="0112B366" w14:textId="76136B42" w:rsidR="00061BE4" w:rsidRDefault="00BD75C1" w:rsidP="001200EB">
      <w:pPr>
        <w:ind w:firstLine="720"/>
        <w:jc w:val="both"/>
      </w:pPr>
      <w:r>
        <w:t xml:space="preserve">On May 11, 2020, the  trial court admitted Earl’s will to probate and appointed a replacement </w:t>
      </w:r>
      <w:r w:rsidR="007107A7">
        <w:t>administrator, Attorney Catherine Welsh</w:t>
      </w:r>
      <w:r w:rsidR="009A1491">
        <w:t xml:space="preserve"> (</w:t>
      </w:r>
      <w:r w:rsidR="00342D11">
        <w:t>the Court had no</w:t>
      </w:r>
      <w:r w:rsidR="009A1491">
        <w:t xml:space="preserve"> explanation </w:t>
      </w:r>
      <w:r w:rsidR="00342D11">
        <w:t>for the substitution</w:t>
      </w:r>
      <w:r w:rsidR="009A1491">
        <w:t xml:space="preserve">). Welsh then </w:t>
      </w:r>
      <w:r w:rsidR="00461D9E">
        <w:t>filed a “Certificate to Make Election by Surviving Spouse” on behalf of Earl</w:t>
      </w:r>
      <w:r w:rsidR="00C63B0D">
        <w:t>,</w:t>
      </w:r>
      <w:r w:rsidR="00461D9E">
        <w:t xml:space="preserve"> in Katha’s probate. This </w:t>
      </w:r>
      <w:r w:rsidR="00C63B0D">
        <w:t>was</w:t>
      </w:r>
      <w:r w:rsidR="00E77B03">
        <w:t xml:space="preserve"> “an apparent attempt for the deceased’s husband’s election </w:t>
      </w:r>
      <w:r w:rsidR="00E77B03">
        <w:lastRenderedPageBreak/>
        <w:t>against his wife’s will</w:t>
      </w:r>
      <w:r w:rsidR="009B4C09">
        <w:t xml:space="preserve">, even though 84 O.S. 2021 §44(B)(4) requires such an election to be done during the lifetime of the surviving spouse.” </w:t>
      </w:r>
      <w:r w:rsidR="009B4C09">
        <w:rPr>
          <w:i/>
          <w:iCs/>
        </w:rPr>
        <w:t xml:space="preserve">Id. </w:t>
      </w:r>
      <w:r w:rsidR="009B4C09">
        <w:t xml:space="preserve">at ¶ </w:t>
      </w:r>
      <w:r w:rsidR="007C4843">
        <w:t>10.</w:t>
      </w:r>
    </w:p>
    <w:p w14:paraId="4E838A56" w14:textId="77777777" w:rsidR="00061BE4" w:rsidRDefault="00061BE4" w:rsidP="001200EB">
      <w:pPr>
        <w:ind w:firstLine="720"/>
        <w:jc w:val="both"/>
      </w:pPr>
    </w:p>
    <w:p w14:paraId="636DD16D" w14:textId="6E035356" w:rsidR="00BD75C1" w:rsidRDefault="002A1668" w:rsidP="001200EB">
      <w:pPr>
        <w:ind w:firstLine="720"/>
        <w:jc w:val="both"/>
      </w:pPr>
      <w:r>
        <w:t>A few months later, the daughter, as trustee of the family trust</w:t>
      </w:r>
      <w:r w:rsidR="007527C2">
        <w:t>, sought a determination that the proceeds of Elliot’s wrongful death case were p</w:t>
      </w:r>
      <w:r w:rsidR="00356961">
        <w:t>roperty of the family trust rather than Katha Williams probate estate.</w:t>
      </w:r>
      <w:r w:rsidR="009861F8">
        <w:t xml:space="preserve"> Attached to the motion was a copy of a portion of the trust along with a purported </w:t>
      </w:r>
      <w:r w:rsidR="00D858CF">
        <w:t xml:space="preserve">2014 </w:t>
      </w:r>
      <w:r w:rsidR="009861F8">
        <w:t xml:space="preserve">assignment </w:t>
      </w:r>
      <w:r w:rsidR="00D858CF">
        <w:t xml:space="preserve">by the Williamses of their interest in the wrongful death judgment to the trust. </w:t>
      </w:r>
      <w:r w:rsidR="00254422">
        <w:t>In response t</w:t>
      </w:r>
      <w:r w:rsidR="001E2853">
        <w:t xml:space="preserve">he probate court </w:t>
      </w:r>
      <w:r w:rsidR="00254422">
        <w:t>entered an order determining that the proceeds were not property of the probate estate</w:t>
      </w:r>
      <w:r w:rsidR="001E2DE7">
        <w:t>. The trial court allocated proceeds in the amount of $1,178,057.44 to be dis</w:t>
      </w:r>
      <w:r w:rsidR="008E5D03">
        <w:t>tributed to the family trust.</w:t>
      </w:r>
    </w:p>
    <w:p w14:paraId="0AA2259E" w14:textId="77777777" w:rsidR="008E5D03" w:rsidRDefault="008E5D03" w:rsidP="001200EB">
      <w:pPr>
        <w:ind w:firstLine="720"/>
        <w:jc w:val="both"/>
      </w:pPr>
    </w:p>
    <w:p w14:paraId="7CB479F5" w14:textId="59D58201" w:rsidR="00763D61" w:rsidRDefault="008E5D03" w:rsidP="00B85301">
      <w:pPr>
        <w:ind w:firstLine="720"/>
        <w:jc w:val="both"/>
      </w:pPr>
      <w:r>
        <w:t xml:space="preserve">Attorney Welsh </w:t>
      </w:r>
      <w:r w:rsidR="008C3A3F">
        <w:t xml:space="preserve">sought original jurisdiction review in the Supreme Court, </w:t>
      </w:r>
      <w:r w:rsidR="00096A49">
        <w:t xml:space="preserve">characterized </w:t>
      </w:r>
      <w:r w:rsidR="00B85301">
        <w:t xml:space="preserve">by the respondent (and the Court) </w:t>
      </w:r>
      <w:r w:rsidR="00096A49">
        <w:t xml:space="preserve">as an attempt to circumvent the usual appeal process. The Court ordered the filing of an “amended </w:t>
      </w:r>
      <w:r w:rsidR="00763D61">
        <w:t xml:space="preserve">petition in error” instead. </w:t>
      </w:r>
      <w:r w:rsidR="00E1189F">
        <w:t>Welsh then appealed the probate order. The response claimed the appeal w</w:t>
      </w:r>
      <w:r w:rsidR="00E0555B">
        <w:t>as “immaterial” because the entirety of Katha’s estate goes into the trust.</w:t>
      </w:r>
      <w:r w:rsidR="00A25B28">
        <w:t xml:space="preserve"> The Court of Civil Appeals affirmed </w:t>
      </w:r>
      <w:r w:rsidR="00B85301">
        <w:t xml:space="preserve">the probate decision </w:t>
      </w:r>
      <w:r w:rsidR="00A25B28">
        <w:t>and the Supreme Court then agreed to certiorari review.</w:t>
      </w:r>
    </w:p>
    <w:p w14:paraId="14009890" w14:textId="77777777" w:rsidR="00F32506" w:rsidRDefault="00F32506" w:rsidP="001200EB">
      <w:pPr>
        <w:ind w:firstLine="720"/>
        <w:jc w:val="both"/>
      </w:pPr>
    </w:p>
    <w:p w14:paraId="19739E95" w14:textId="7F22E480" w:rsidR="00F32506" w:rsidRDefault="00F32506" w:rsidP="001200EB">
      <w:pPr>
        <w:ind w:firstLine="720"/>
        <w:jc w:val="both"/>
      </w:pPr>
      <w:r>
        <w:t>Welsh argued that the wrongful death claim was unassignable because it was a tort claim</w:t>
      </w:r>
      <w:r w:rsidR="00ED7A0C">
        <w:t xml:space="preserve">, and that that also made the proceeds unassignable. The </w:t>
      </w:r>
      <w:r w:rsidR="008659D8">
        <w:t>respondent</w:t>
      </w:r>
      <w:r w:rsidR="00EA56D7">
        <w:t xml:space="preserve"> argu</w:t>
      </w:r>
      <w:r w:rsidR="004B0F7A">
        <w:t>ed</w:t>
      </w:r>
      <w:r w:rsidR="00EA56D7">
        <w:t xml:space="preserve"> that the proceeds were assignable and transferrable to the trust</w:t>
      </w:r>
      <w:r w:rsidR="004B0F7A">
        <w:t xml:space="preserve">, and thus belonged in the trust </w:t>
      </w:r>
      <w:r w:rsidR="00916410">
        <w:t>and were not part of the probate estate.</w:t>
      </w:r>
    </w:p>
    <w:p w14:paraId="3D04C72C" w14:textId="77777777" w:rsidR="00CE664E" w:rsidRDefault="00CE664E" w:rsidP="001200EB">
      <w:pPr>
        <w:ind w:firstLine="720"/>
        <w:jc w:val="both"/>
      </w:pPr>
    </w:p>
    <w:p w14:paraId="3B7D0A09" w14:textId="2312C99E" w:rsidR="00CE664E" w:rsidRDefault="00CE664E" w:rsidP="001200EB">
      <w:pPr>
        <w:ind w:firstLine="720"/>
        <w:jc w:val="both"/>
        <w:rPr>
          <w:i/>
          <w:iCs/>
        </w:rPr>
      </w:pPr>
      <w:r>
        <w:t xml:space="preserve">The Court notes </w:t>
      </w:r>
      <w:r w:rsidR="001151DE">
        <w:t xml:space="preserve">that wrongful death actions were unknown to the common law and are created by statute. As such, </w:t>
      </w:r>
      <w:r w:rsidR="00837005">
        <w:t xml:space="preserve">a wrongful death action is not “a separate and distinct tort, but is </w:t>
      </w:r>
      <w:r w:rsidR="00E579D6" w:rsidRPr="00E579D6">
        <w:t>an action which derives from the rights of the decedent.</w:t>
      </w:r>
      <w:r w:rsidR="00E579D6">
        <w:t xml:space="preserve">” </w:t>
      </w:r>
      <w:r w:rsidR="00E579D6">
        <w:rPr>
          <w:i/>
          <w:iCs/>
        </w:rPr>
        <w:t xml:space="preserve">Id. </w:t>
      </w:r>
      <w:r w:rsidR="00E579D6">
        <w:t xml:space="preserve">at ¶ 18. </w:t>
      </w:r>
      <w:r w:rsidR="001626B7">
        <w:t>Thus</w:t>
      </w:r>
      <w:r w:rsidR="00E579D6">
        <w:t>, whatever rights the decedent may have had</w:t>
      </w:r>
      <w:r w:rsidR="001626B7">
        <w:t>,</w:t>
      </w:r>
      <w:r w:rsidR="00E579D6">
        <w:t xml:space="preserve"> in life</w:t>
      </w:r>
      <w:r w:rsidR="001626B7">
        <w:t>,</w:t>
      </w:r>
      <w:r w:rsidR="00E579D6">
        <w:t xml:space="preserve"> accrue to the personal representative at death. </w:t>
      </w:r>
      <w:r w:rsidR="00E579D6">
        <w:rPr>
          <w:i/>
          <w:iCs/>
        </w:rPr>
        <w:t>Id.</w:t>
      </w:r>
    </w:p>
    <w:p w14:paraId="2D2C4FC0" w14:textId="77777777" w:rsidR="00362DB6" w:rsidRDefault="00362DB6" w:rsidP="001200EB">
      <w:pPr>
        <w:ind w:firstLine="720"/>
        <w:jc w:val="both"/>
        <w:rPr>
          <w:i/>
          <w:iCs/>
        </w:rPr>
      </w:pPr>
    </w:p>
    <w:p w14:paraId="049C5BAF" w14:textId="66212D0F" w:rsidR="00B51DD8" w:rsidRPr="00A110BF" w:rsidRDefault="00362DB6" w:rsidP="00A110BF">
      <w:pPr>
        <w:ind w:firstLine="720"/>
        <w:jc w:val="both"/>
        <w:rPr>
          <w:i/>
        </w:rPr>
      </w:pPr>
      <w:r>
        <w:t xml:space="preserve">Next the Court holds that </w:t>
      </w:r>
      <w:r w:rsidR="00AE0C7A">
        <w:t xml:space="preserve">a cause of action for wrongful death “cannot be assigned or transferred.” </w:t>
      </w:r>
      <w:r w:rsidR="00AE0C7A">
        <w:rPr>
          <w:i/>
        </w:rPr>
        <w:t xml:space="preserve">Id. </w:t>
      </w:r>
      <w:r w:rsidR="00AE0C7A">
        <w:rPr>
          <w:iCs/>
        </w:rPr>
        <w:t xml:space="preserve">at ¶ </w:t>
      </w:r>
      <w:r w:rsidR="00804272">
        <w:rPr>
          <w:iCs/>
        </w:rPr>
        <w:t xml:space="preserve">19. That too is because such actions are “purely statutory” and thus may be brought only by those </w:t>
      </w:r>
      <w:r w:rsidR="002E1C12">
        <w:rPr>
          <w:iCs/>
        </w:rPr>
        <w:t xml:space="preserve">authorized to do so by the statute. </w:t>
      </w:r>
      <w:r w:rsidR="002E1C12">
        <w:rPr>
          <w:i/>
        </w:rPr>
        <w:t>Id.</w:t>
      </w:r>
      <w:r w:rsidR="00A110BF">
        <w:rPr>
          <w:i/>
        </w:rPr>
        <w:t xml:space="preserve"> </w:t>
      </w:r>
      <w:r w:rsidR="00A110BF">
        <w:rPr>
          <w:iCs/>
        </w:rPr>
        <w:t>But t</w:t>
      </w:r>
      <w:r w:rsidR="00B51DD8">
        <w:rPr>
          <w:iCs/>
        </w:rPr>
        <w:t>he Court then distinguishe</w:t>
      </w:r>
      <w:r w:rsidR="00A110BF">
        <w:rPr>
          <w:iCs/>
        </w:rPr>
        <w:t>s</w:t>
      </w:r>
      <w:r w:rsidR="00B51DD8">
        <w:rPr>
          <w:iCs/>
        </w:rPr>
        <w:t xml:space="preserve"> the </w:t>
      </w:r>
      <w:r w:rsidR="00B51DD8" w:rsidRPr="00A110BF">
        <w:rPr>
          <w:iCs/>
          <w:u w:val="single"/>
        </w:rPr>
        <w:t>transfer</w:t>
      </w:r>
      <w:r w:rsidR="00B15566">
        <w:rPr>
          <w:iCs/>
          <w:u w:val="single"/>
        </w:rPr>
        <w:t xml:space="preserve"> or assignment</w:t>
      </w:r>
      <w:r w:rsidR="00B51DD8" w:rsidRPr="00B15566">
        <w:rPr>
          <w:iCs/>
          <w:u w:val="single"/>
        </w:rPr>
        <w:t xml:space="preserve"> of </w:t>
      </w:r>
      <w:r w:rsidR="00B70F8C" w:rsidRPr="00B15566">
        <w:rPr>
          <w:iCs/>
          <w:u w:val="single"/>
        </w:rPr>
        <w:t>proceeds</w:t>
      </w:r>
      <w:r w:rsidR="00B70F8C">
        <w:t xml:space="preserve"> from </w:t>
      </w:r>
      <w:r w:rsidR="00A110BF">
        <w:t>a</w:t>
      </w:r>
      <w:r w:rsidR="00B70F8C">
        <w:t xml:space="preserve"> wrongful death action from </w:t>
      </w:r>
      <w:r w:rsidR="00E2762F">
        <w:t>a</w:t>
      </w:r>
      <w:r w:rsidR="00B15566">
        <w:t xml:space="preserve"> </w:t>
      </w:r>
      <w:r w:rsidR="00B15566">
        <w:rPr>
          <w:u w:val="single"/>
        </w:rPr>
        <w:t xml:space="preserve">transfer or </w:t>
      </w:r>
      <w:r w:rsidR="00B70F8C" w:rsidRPr="00A110BF">
        <w:rPr>
          <w:u w:val="single"/>
        </w:rPr>
        <w:t xml:space="preserve">assignment </w:t>
      </w:r>
      <w:r w:rsidR="00B70F8C" w:rsidRPr="00E2762F">
        <w:rPr>
          <w:u w:val="single"/>
        </w:rPr>
        <w:t>of a cause of action</w:t>
      </w:r>
      <w:r w:rsidR="00B70F8C">
        <w:t xml:space="preserve"> not arising on contract</w:t>
      </w:r>
      <w:r w:rsidR="0079230E">
        <w:t xml:space="preserve">. </w:t>
      </w:r>
      <w:r w:rsidR="0079230E">
        <w:rPr>
          <w:i/>
          <w:iCs/>
        </w:rPr>
        <w:t xml:space="preserve">Id. </w:t>
      </w:r>
      <w:r w:rsidR="00F257FE">
        <w:t xml:space="preserve">at ¶ 20. </w:t>
      </w:r>
      <w:r w:rsidR="0079230E">
        <w:t xml:space="preserve">This </w:t>
      </w:r>
      <w:r w:rsidR="00D13FDB">
        <w:t xml:space="preserve">distinction is important because it </w:t>
      </w:r>
      <w:r w:rsidR="0079230E">
        <w:t xml:space="preserve">takes the </w:t>
      </w:r>
      <w:r w:rsidR="00C568BD">
        <w:t xml:space="preserve">assignment outside the operation of </w:t>
      </w:r>
      <w:r w:rsidR="00D70A02">
        <w:t xml:space="preserve">12 O.S. § 2017 </w:t>
      </w:r>
      <w:r w:rsidR="00C568BD">
        <w:t xml:space="preserve">which </w:t>
      </w:r>
      <w:r w:rsidR="00E2762F">
        <w:t xml:space="preserve">forbids assignment of a </w:t>
      </w:r>
      <w:r w:rsidR="00E2762F">
        <w:rPr>
          <w:u w:val="single"/>
        </w:rPr>
        <w:t>cause of actio</w:t>
      </w:r>
      <w:r w:rsidR="00E2762F" w:rsidRPr="00C568BD">
        <w:rPr>
          <w:u w:val="single"/>
        </w:rPr>
        <w:t>n not arising out of contract</w:t>
      </w:r>
      <w:r w:rsidR="00E2762F">
        <w:t>.</w:t>
      </w:r>
      <w:r w:rsidR="00DF76AF">
        <w:t xml:space="preserve"> This case, says the Court, concerns the former rather than the latter.</w:t>
      </w:r>
    </w:p>
    <w:p w14:paraId="3136D2BD" w14:textId="77777777" w:rsidR="00B6465A" w:rsidRDefault="00B6465A" w:rsidP="001200EB">
      <w:pPr>
        <w:ind w:firstLine="720"/>
        <w:jc w:val="both"/>
      </w:pPr>
    </w:p>
    <w:p w14:paraId="5FE8A739" w14:textId="31FAEB84" w:rsidR="00B6465A" w:rsidRDefault="00B6465A" w:rsidP="001200EB">
      <w:pPr>
        <w:ind w:firstLine="720"/>
        <w:jc w:val="both"/>
        <w:rPr>
          <w:i/>
          <w:iCs/>
        </w:rPr>
      </w:pPr>
      <w:r>
        <w:t xml:space="preserve">After laying the above groundwork, the Court then </w:t>
      </w:r>
      <w:r w:rsidR="00F139B0">
        <w:t xml:space="preserve">notes that the wrongful death action was filed before Elliot’s parents created their wills and the trust. </w:t>
      </w:r>
      <w:r w:rsidR="00110F4B">
        <w:t xml:space="preserve">The both also died before the wrongful death proceeds were determined or distributed. Thus, the question becomes: </w:t>
      </w:r>
      <w:r w:rsidR="00A11FE6">
        <w:t>“</w:t>
      </w:r>
      <w:r w:rsidR="00A11FE6" w:rsidRPr="00A11FE6">
        <w:t>whether the proceeds from the pending wrongful death action are transferable, not just from anyone to just anyone, but by the statutor</w:t>
      </w:r>
      <w:r w:rsidR="00DC107C">
        <w:t>il</w:t>
      </w:r>
      <w:r w:rsidR="00A11FE6" w:rsidRPr="00A11FE6">
        <w:t>y entitled beneficiaries into their trust for estate planning.</w:t>
      </w:r>
      <w:r w:rsidR="00A11FE6">
        <w:t xml:space="preserve">” </w:t>
      </w:r>
      <w:r w:rsidR="00A11FE6">
        <w:rPr>
          <w:i/>
          <w:iCs/>
        </w:rPr>
        <w:t xml:space="preserve">Id. </w:t>
      </w:r>
      <w:r w:rsidR="00A11FE6">
        <w:t xml:space="preserve">at ¶ 20. To answer that question, the Court </w:t>
      </w:r>
      <w:r w:rsidR="007F50D9">
        <w:t xml:space="preserve">addresses “prior wrongful death cases. . . .” </w:t>
      </w:r>
      <w:r w:rsidR="007F50D9">
        <w:rPr>
          <w:i/>
          <w:iCs/>
        </w:rPr>
        <w:t>Id.</w:t>
      </w:r>
    </w:p>
    <w:p w14:paraId="3C219364" w14:textId="77777777" w:rsidR="007F50D9" w:rsidRDefault="007F50D9" w:rsidP="001200EB">
      <w:pPr>
        <w:ind w:firstLine="720"/>
        <w:jc w:val="both"/>
        <w:rPr>
          <w:i/>
          <w:iCs/>
        </w:rPr>
      </w:pPr>
    </w:p>
    <w:p w14:paraId="410B80FC" w14:textId="40C1AB57" w:rsidR="007F50D9" w:rsidRPr="00F96740" w:rsidRDefault="007F50D9" w:rsidP="00675A55">
      <w:pPr>
        <w:ind w:firstLine="720"/>
        <w:jc w:val="both"/>
        <w:rPr>
          <w:i/>
          <w:iCs/>
        </w:rPr>
      </w:pPr>
      <w:r>
        <w:t xml:space="preserve">Per the Court, two prior wrongful death cases </w:t>
      </w:r>
      <w:r w:rsidR="00B91117">
        <w:t xml:space="preserve">“stand out.” </w:t>
      </w:r>
      <w:r w:rsidR="00B91117">
        <w:rPr>
          <w:i/>
          <w:iCs/>
        </w:rPr>
        <w:t xml:space="preserve">Id. </w:t>
      </w:r>
      <w:r w:rsidR="00B91117">
        <w:t xml:space="preserve">at ¶ 21. They are </w:t>
      </w:r>
      <w:r w:rsidR="001E0A90" w:rsidRPr="001E0A90">
        <w:rPr>
          <w:i/>
          <w:iCs/>
        </w:rPr>
        <w:t xml:space="preserve">City of Shawnee v. Cheek, </w:t>
      </w:r>
      <w:r w:rsidR="001E0A90" w:rsidRPr="001E0A90">
        <w:t>1913 OK 739, 137 P. 724,</w:t>
      </w:r>
      <w:r w:rsidR="001E0A90">
        <w:t xml:space="preserve"> and </w:t>
      </w:r>
      <w:r w:rsidR="0097593E" w:rsidRPr="0097593E">
        <w:rPr>
          <w:i/>
          <w:iCs/>
        </w:rPr>
        <w:t>Aetna Cas. &amp; Sur. Co. v. Young,</w:t>
      </w:r>
      <w:r w:rsidR="0097593E" w:rsidRPr="0097593E">
        <w:t xml:space="preserve"> 1924 OK 394, </w:t>
      </w:r>
      <w:r w:rsidR="0097593E" w:rsidRPr="0097593E">
        <w:lastRenderedPageBreak/>
        <w:t>231 P. 261</w:t>
      </w:r>
      <w:r w:rsidR="0097593E">
        <w:t xml:space="preserve">. </w:t>
      </w:r>
      <w:r w:rsidR="00895232">
        <w:t xml:space="preserve">In </w:t>
      </w:r>
      <w:r w:rsidR="00F430F2">
        <w:rPr>
          <w:i/>
          <w:iCs/>
        </w:rPr>
        <w:t>Cheek</w:t>
      </w:r>
      <w:r w:rsidR="00895232">
        <w:rPr>
          <w:i/>
          <w:iCs/>
        </w:rPr>
        <w:t xml:space="preserve">, </w:t>
      </w:r>
      <w:r w:rsidR="00895232">
        <w:t xml:space="preserve">like here, the wrongful death beneficiary (a father) </w:t>
      </w:r>
      <w:r w:rsidR="007A26EB">
        <w:t xml:space="preserve">died before his son’s wrongful death action went to trial. </w:t>
      </w:r>
      <w:r w:rsidR="00765D69">
        <w:t>The mother then revived the wrongful death action as administratrix of the father’s estate.</w:t>
      </w:r>
      <w:r w:rsidR="00764663">
        <w:t xml:space="preserve"> In that case, the Court h</w:t>
      </w:r>
      <w:r w:rsidR="00B40825">
        <w:t>o</w:t>
      </w:r>
      <w:r w:rsidR="00764663">
        <w:t>ld</w:t>
      </w:r>
      <w:r w:rsidR="00B40825">
        <w:t>s</w:t>
      </w:r>
      <w:r w:rsidR="00764663">
        <w:t xml:space="preserve"> that a wrongful death action is like property</w:t>
      </w:r>
      <w:r w:rsidR="00D117B4">
        <w:t>—it is a pecuniary righ</w:t>
      </w:r>
      <w:r w:rsidR="00FE5034">
        <w:t>t”—</w:t>
      </w:r>
      <w:r w:rsidR="00D117B4">
        <w:t>created by statute.</w:t>
      </w:r>
      <w:r w:rsidR="00FE5034">
        <w:t xml:space="preserve"> </w:t>
      </w:r>
      <w:r w:rsidR="00FE5034">
        <w:rPr>
          <w:i/>
          <w:iCs/>
        </w:rPr>
        <w:t xml:space="preserve">Id. </w:t>
      </w:r>
      <w:r w:rsidR="00FE5034">
        <w:t>(citing a New York rule).</w:t>
      </w:r>
      <w:r w:rsidR="006C2F2C">
        <w:t xml:space="preserve"> </w:t>
      </w:r>
      <w:r w:rsidR="00F430F2">
        <w:rPr>
          <w:i/>
          <w:iCs/>
        </w:rPr>
        <w:t>Cheek</w:t>
      </w:r>
      <w:r w:rsidR="006C2F2C">
        <w:rPr>
          <w:i/>
          <w:iCs/>
        </w:rPr>
        <w:t xml:space="preserve"> </w:t>
      </w:r>
      <w:r w:rsidR="006C2F2C">
        <w:t>also relie</w:t>
      </w:r>
      <w:r w:rsidR="00B40825">
        <w:t>s</w:t>
      </w:r>
      <w:r w:rsidR="006C2F2C">
        <w:t xml:space="preserve"> </w:t>
      </w:r>
      <w:r w:rsidR="00B40825">
        <w:t>up</w:t>
      </w:r>
      <w:r w:rsidR="006C2F2C">
        <w:t xml:space="preserve">on a New Jersey case </w:t>
      </w:r>
      <w:r w:rsidR="0073310A">
        <w:t>that h</w:t>
      </w:r>
      <w:r w:rsidR="00B40825">
        <w:t>o</w:t>
      </w:r>
      <w:r w:rsidR="0073310A">
        <w:t>ld</w:t>
      </w:r>
      <w:r w:rsidR="00B40825">
        <w:t>s</w:t>
      </w:r>
      <w:r w:rsidR="0073310A">
        <w:t xml:space="preserve"> that the death of </w:t>
      </w:r>
      <w:r w:rsidR="00175AFB">
        <w:t>a wrongful death</w:t>
      </w:r>
      <w:r w:rsidR="0073310A">
        <w:t xml:space="preserve"> beneficiary </w:t>
      </w:r>
      <w:r w:rsidR="00175AFB">
        <w:t>“</w:t>
      </w:r>
      <w:r w:rsidR="0073310A">
        <w:t xml:space="preserve">cannot be made to abrogate </w:t>
      </w:r>
      <w:r w:rsidR="00596C9A">
        <w:t>the liability of the wrongdoer because the pecuniary injury was already sustained.</w:t>
      </w:r>
      <w:r w:rsidR="007D1F03">
        <w:t>”</w:t>
      </w:r>
      <w:r w:rsidR="000A6970">
        <w:t xml:space="preserve"> </w:t>
      </w:r>
      <w:r w:rsidR="000A6970">
        <w:rPr>
          <w:i/>
          <w:iCs/>
        </w:rPr>
        <w:t xml:space="preserve">Id. </w:t>
      </w:r>
      <w:r w:rsidR="000A6970">
        <w:t>at ¶ 23.</w:t>
      </w:r>
      <w:r w:rsidR="000235F8">
        <w:t xml:space="preserve"> Since the right to compensation vests in the beneficiary </w:t>
      </w:r>
      <w:r w:rsidR="00E972AA">
        <w:t>immediately upon the death</w:t>
      </w:r>
      <w:r w:rsidR="007D1F03">
        <w:t xml:space="preserve"> of the wrongful death victim</w:t>
      </w:r>
      <w:r w:rsidR="00E972AA">
        <w:t xml:space="preserve">, the right to recovery is not precluded just because the wrongful death statute does not </w:t>
      </w:r>
      <w:r w:rsidR="00CB56E0">
        <w:t xml:space="preserve">say what happens </w:t>
      </w:r>
      <w:r w:rsidR="009004CC">
        <w:t>when</w:t>
      </w:r>
      <w:r w:rsidR="00CB56E0">
        <w:t xml:space="preserve"> the beneficiary dies before th</w:t>
      </w:r>
      <w:r w:rsidR="009004CC">
        <w:t>e</w:t>
      </w:r>
      <w:r w:rsidR="00CB56E0">
        <w:t xml:space="preserve"> death action is decided. </w:t>
      </w:r>
      <w:proofErr w:type="gramStart"/>
      <w:r w:rsidR="00CB56E0">
        <w:t>But</w:t>
      </w:r>
      <w:r w:rsidR="009004CC">
        <w:t>,</w:t>
      </w:r>
      <w:proofErr w:type="gramEnd"/>
      <w:r w:rsidR="009004CC">
        <w:t xml:space="preserve"> notes the Court in that instance,</w:t>
      </w:r>
      <w:r w:rsidR="00CB56E0">
        <w:t xml:space="preserve"> the “injury sustained” (</w:t>
      </w:r>
      <w:r w:rsidR="00F96740">
        <w:t xml:space="preserve">meaning, </w:t>
      </w:r>
      <w:r w:rsidR="00CB56E0">
        <w:t>presumably</w:t>
      </w:r>
      <w:r w:rsidR="00F96740">
        <w:t>,</w:t>
      </w:r>
      <w:r w:rsidR="00CB56E0">
        <w:t xml:space="preserve"> the beneficiary</w:t>
      </w:r>
      <w:r w:rsidR="00F96740">
        <w:t>’s “injury”</w:t>
      </w:r>
      <w:r w:rsidR="00CB56E0">
        <w:t xml:space="preserve">) </w:t>
      </w:r>
      <w:r w:rsidR="006E790D">
        <w:t>is limited to the duration and extent of the beneficiary’s lifetime.</w:t>
      </w:r>
      <w:r w:rsidR="00F96740">
        <w:t xml:space="preserve"> </w:t>
      </w:r>
      <w:r w:rsidR="00F96740">
        <w:rPr>
          <w:i/>
          <w:iCs/>
        </w:rPr>
        <w:t xml:space="preserve">Id. </w:t>
      </w:r>
    </w:p>
    <w:p w14:paraId="419A2250" w14:textId="77777777" w:rsidR="009619A0" w:rsidRDefault="009619A0" w:rsidP="00675A55">
      <w:pPr>
        <w:ind w:firstLine="720"/>
        <w:jc w:val="both"/>
      </w:pPr>
    </w:p>
    <w:p w14:paraId="4E76BB52" w14:textId="71A3BE8F" w:rsidR="009619A0" w:rsidRDefault="009619A0" w:rsidP="00675A55">
      <w:pPr>
        <w:ind w:firstLine="720"/>
        <w:jc w:val="both"/>
      </w:pPr>
      <w:r>
        <w:t xml:space="preserve">The Court then </w:t>
      </w:r>
      <w:r w:rsidR="009752A4">
        <w:t xml:space="preserve">applies the above to hold that a wrongful death </w:t>
      </w:r>
      <w:r w:rsidR="009752A4" w:rsidRPr="00045EF1">
        <w:rPr>
          <w:i/>
          <w:iCs/>
        </w:rPr>
        <w:t xml:space="preserve">cause of action </w:t>
      </w:r>
      <w:r w:rsidR="009752A4">
        <w:t xml:space="preserve">may not be assignable, but </w:t>
      </w:r>
      <w:r w:rsidR="00BB34B3">
        <w:t xml:space="preserve">such actions are “similar to a property right” in that they vest in the beneficiaries upon the wrongful death. </w:t>
      </w:r>
      <w:r w:rsidR="00BB34B3">
        <w:rPr>
          <w:i/>
          <w:iCs/>
        </w:rPr>
        <w:t xml:space="preserve">Id. </w:t>
      </w:r>
      <w:r w:rsidR="00BB34B3">
        <w:t xml:space="preserve">at ¶ </w:t>
      </w:r>
      <w:r w:rsidR="00FA7320">
        <w:t>24. Thus, Katha’s rights vested upon the death of her son</w:t>
      </w:r>
      <w:r w:rsidR="00B12A74">
        <w:t xml:space="preserve"> and “[s]he never transferred, or attempted to transfer, her right.” </w:t>
      </w:r>
      <w:r w:rsidR="00B12A74">
        <w:rPr>
          <w:i/>
          <w:iCs/>
        </w:rPr>
        <w:t xml:space="preserve">Id. </w:t>
      </w:r>
      <w:r w:rsidR="005F3794">
        <w:t>By saying she did not attempt to transfer her “right</w:t>
      </w:r>
      <w:r w:rsidR="00D76B3F">
        <w:t>,</w:t>
      </w:r>
      <w:r w:rsidR="005F3794">
        <w:t xml:space="preserve">” presumably the Court means her right </w:t>
      </w:r>
      <w:r w:rsidR="00D76B3F">
        <w:t xml:space="preserve">of action rather than her right to benefits. </w:t>
      </w:r>
      <w:r w:rsidR="00045EF1">
        <w:t xml:space="preserve">Accordingly, holds </w:t>
      </w:r>
      <w:r w:rsidR="00045EF1">
        <w:rPr>
          <w:i/>
          <w:iCs/>
        </w:rPr>
        <w:t xml:space="preserve">Williams, </w:t>
      </w:r>
      <w:r w:rsidR="00045EF1">
        <w:t>Katha</w:t>
      </w:r>
      <w:r w:rsidR="00B12A74">
        <w:t xml:space="preserve"> did not violated </w:t>
      </w:r>
      <w:r w:rsidR="00946F9A">
        <w:t>the 12 O.S. § 2017 prohibition o</w:t>
      </w:r>
      <w:r w:rsidR="00045EF1">
        <w:t>f</w:t>
      </w:r>
      <w:r w:rsidR="00946F9A">
        <w:t xml:space="preserve"> assigning claims not arising out of contract. </w:t>
      </w:r>
      <w:r w:rsidR="00946F9A">
        <w:rPr>
          <w:i/>
          <w:iCs/>
        </w:rPr>
        <w:t>Id.</w:t>
      </w:r>
      <w:r w:rsidR="00946F9A">
        <w:t xml:space="preserve"> </w:t>
      </w:r>
    </w:p>
    <w:p w14:paraId="6C105A2D" w14:textId="77777777" w:rsidR="00946F9A" w:rsidRDefault="00946F9A" w:rsidP="00675A55">
      <w:pPr>
        <w:ind w:firstLine="720"/>
        <w:jc w:val="both"/>
      </w:pPr>
    </w:p>
    <w:p w14:paraId="707466D9" w14:textId="7CF53481" w:rsidR="00946F9A" w:rsidRDefault="00946F9A" w:rsidP="00675A55">
      <w:pPr>
        <w:ind w:firstLine="720"/>
        <w:jc w:val="both"/>
      </w:pPr>
      <w:r>
        <w:t xml:space="preserve">The Court then turned to </w:t>
      </w:r>
      <w:r>
        <w:rPr>
          <w:i/>
          <w:iCs/>
        </w:rPr>
        <w:t>Young</w:t>
      </w:r>
      <w:r w:rsidR="00A94F55">
        <w:rPr>
          <w:i/>
          <w:iCs/>
        </w:rPr>
        <w:t xml:space="preserve">, </w:t>
      </w:r>
      <w:r w:rsidR="00A94F55">
        <w:t xml:space="preserve">“a case concerning distribution of wrongful death proceeds.” </w:t>
      </w:r>
      <w:r w:rsidR="00A94F55">
        <w:rPr>
          <w:i/>
          <w:iCs/>
        </w:rPr>
        <w:t>Id.</w:t>
      </w:r>
      <w:r w:rsidR="00A94F55">
        <w:t xml:space="preserve"> at ¶ 26. </w:t>
      </w:r>
      <w:r w:rsidR="003C1093">
        <w:t>There, the Court h</w:t>
      </w:r>
      <w:r w:rsidR="006567DA">
        <w:t>o</w:t>
      </w:r>
      <w:r w:rsidR="003C1093">
        <w:t>ld</w:t>
      </w:r>
      <w:r w:rsidR="006567DA">
        <w:t>s</w:t>
      </w:r>
      <w:r w:rsidR="003C1093">
        <w:t xml:space="preserve"> that </w:t>
      </w:r>
      <w:r w:rsidR="00E81984">
        <w:t>such proceeds do not belong to the estate of the deceased</w:t>
      </w:r>
      <w:r w:rsidR="00E802CE">
        <w:t xml:space="preserve"> (</w:t>
      </w:r>
      <w:r w:rsidR="00AC4FDE">
        <w:t>referring here to Elliot rather than to Katha</w:t>
      </w:r>
      <w:r w:rsidR="00E802CE">
        <w:t>)</w:t>
      </w:r>
      <w:r w:rsidR="0028324F">
        <w:t>, but are rather held in trust</w:t>
      </w:r>
      <w:r w:rsidR="00BD5D06">
        <w:t xml:space="preserve"> for the benefit of the wrongful death beneficiaries. </w:t>
      </w:r>
      <w:r w:rsidR="00BD5D06">
        <w:rPr>
          <w:i/>
          <w:iCs/>
        </w:rPr>
        <w:t xml:space="preserve">Id. </w:t>
      </w:r>
      <w:r w:rsidR="00967829">
        <w:t xml:space="preserve">That creates a duty on the part of the </w:t>
      </w:r>
      <w:r w:rsidR="0022069F">
        <w:t xml:space="preserve">“trustee” to properly distribute the money to the </w:t>
      </w:r>
      <w:r w:rsidR="004346EB">
        <w:t xml:space="preserve">wrongful death </w:t>
      </w:r>
      <w:r w:rsidR="0022069F">
        <w:t>beneficiaries</w:t>
      </w:r>
      <w:r w:rsidR="004346EB">
        <w:t>.</w:t>
      </w:r>
      <w:r w:rsidR="007840D0">
        <w:t xml:space="preserve"> Under the rationale of this case, the Court notes that the wrongful death proceeds </w:t>
      </w:r>
      <w:r w:rsidR="006567DA">
        <w:t>a</w:t>
      </w:r>
      <w:r w:rsidR="007840D0">
        <w:t xml:space="preserve">re “akin to </w:t>
      </w:r>
      <w:r w:rsidR="009D50F3">
        <w:t xml:space="preserve">trust funds held for statutory beneficiaries such as Katha, for her benefit.” </w:t>
      </w:r>
      <w:r w:rsidR="009D50F3">
        <w:rPr>
          <w:i/>
          <w:iCs/>
        </w:rPr>
        <w:t xml:space="preserve">Id. </w:t>
      </w:r>
      <w:r w:rsidR="009D50F3">
        <w:t>at ¶ 27</w:t>
      </w:r>
      <w:r w:rsidR="00217941">
        <w:t>.</w:t>
      </w:r>
      <w:r w:rsidR="002E0DE0">
        <w:t xml:space="preserve"> </w:t>
      </w:r>
      <w:r w:rsidR="00217941">
        <w:t xml:space="preserve">The Court also </w:t>
      </w:r>
      <w:r w:rsidR="002E0DE0">
        <w:t>quot</w:t>
      </w:r>
      <w:r w:rsidR="00217941">
        <w:t>es in this regard</w:t>
      </w:r>
      <w:r w:rsidR="002E0DE0">
        <w:t xml:space="preserve"> 25A C.J.S. Death § 118, (August 2023 Update)</w:t>
      </w:r>
      <w:r w:rsidR="00375CFA">
        <w:t xml:space="preserve">, for a rule that </w:t>
      </w:r>
      <w:r w:rsidR="00597DC7">
        <w:t>wrongful death statutes give beneficiaries an enforceable beneficial interest in wrongful death proceeds</w:t>
      </w:r>
      <w:r w:rsidR="00217941">
        <w:t>:</w:t>
      </w:r>
    </w:p>
    <w:p w14:paraId="0E6D6294" w14:textId="77777777" w:rsidR="00217941" w:rsidRDefault="00217941" w:rsidP="00675A55">
      <w:pPr>
        <w:ind w:firstLine="720"/>
        <w:jc w:val="both"/>
      </w:pPr>
    </w:p>
    <w:p w14:paraId="58C83B28" w14:textId="3C1C7CBD" w:rsidR="00217941" w:rsidRDefault="00820090" w:rsidP="00675A55">
      <w:pPr>
        <w:ind w:left="720" w:right="720"/>
        <w:jc w:val="both"/>
      </w:pPr>
      <w:r w:rsidRPr="00820090">
        <w:t>The trust under which the personal representative or other statutory wrongful death plaintiff holds the damages recovered [**18]  in a wrongful death action may be enforced by the beneficiaries. HN9 A beneficiary may recover a share by an action against the personal representative, or other statutory trustee of the recovery, and as such proceedings, as trust proceedings, are not subject to a bar of time limitations. However, a beneficiary cannot maintain such an action until the net amount for distribution and the respective shares of the beneficiaries have been determined.</w:t>
      </w:r>
    </w:p>
    <w:p w14:paraId="0FB9429E" w14:textId="77777777" w:rsidR="00820090" w:rsidRDefault="00820090" w:rsidP="00675A55">
      <w:pPr>
        <w:ind w:left="720" w:right="720"/>
        <w:jc w:val="both"/>
      </w:pPr>
    </w:p>
    <w:p w14:paraId="3C5AD7F3" w14:textId="250B8604" w:rsidR="00820090" w:rsidRDefault="00820090" w:rsidP="00432F9F">
      <w:pPr>
        <w:jc w:val="both"/>
        <w:rPr>
          <w:i/>
          <w:iCs/>
        </w:rPr>
      </w:pPr>
      <w:r>
        <w:tab/>
      </w:r>
      <w:r w:rsidR="00B035F8">
        <w:t xml:space="preserve">Applying all of the above, the Court then holds that </w:t>
      </w:r>
      <w:r w:rsidR="00E512D7">
        <w:t>the</w:t>
      </w:r>
      <w:r w:rsidR="00FC6186">
        <w:t xml:space="preserve"> </w:t>
      </w:r>
      <w:r w:rsidR="002817DD">
        <w:t>beneficial interest conferred by the</w:t>
      </w:r>
      <w:r w:rsidR="00E512D7">
        <w:t xml:space="preserve"> wrongful death statute inures to the</w:t>
      </w:r>
      <w:r w:rsidR="002817DD">
        <w:t xml:space="preserve"> beneficiary’s</w:t>
      </w:r>
      <w:r w:rsidR="00E512D7">
        <w:t xml:space="preserve"> </w:t>
      </w:r>
      <w:r w:rsidR="00274E85">
        <w:t xml:space="preserve">exclusive benefit. </w:t>
      </w:r>
      <w:r w:rsidR="00274E85">
        <w:rPr>
          <w:i/>
          <w:iCs/>
        </w:rPr>
        <w:t xml:space="preserve">Id. </w:t>
      </w:r>
      <w:r w:rsidR="00553107">
        <w:t xml:space="preserve">But, nothing </w:t>
      </w:r>
      <w:r w:rsidR="00894C40">
        <w:t>about the nature of the “anticipated [wrongful death] funds</w:t>
      </w:r>
      <w:r w:rsidR="00E47A05">
        <w:t xml:space="preserve">” prevented Katha from transferring her </w:t>
      </w:r>
      <w:r w:rsidR="00E47A05" w:rsidRPr="00553107">
        <w:rPr>
          <w:i/>
          <w:iCs/>
        </w:rPr>
        <w:t>interest</w:t>
      </w:r>
      <w:r w:rsidR="00E47A05">
        <w:t xml:space="preserve"> in them to the family trust for estate planning pur</w:t>
      </w:r>
      <w:r w:rsidR="00806C37">
        <w:t xml:space="preserve">poses. </w:t>
      </w:r>
      <w:r w:rsidR="00806C37">
        <w:rPr>
          <w:i/>
          <w:iCs/>
        </w:rPr>
        <w:t xml:space="preserve">Id. </w:t>
      </w:r>
      <w:r w:rsidR="00806C37">
        <w:t xml:space="preserve">Nor has the legislature prohibited such a transfer in either the wrongful death statutes or the wills and trusts statutes. </w:t>
      </w:r>
      <w:r w:rsidR="00806C37">
        <w:rPr>
          <w:i/>
          <w:iCs/>
        </w:rPr>
        <w:t>Id.</w:t>
      </w:r>
    </w:p>
    <w:p w14:paraId="0EF2AD3C" w14:textId="77777777" w:rsidR="007F3694" w:rsidRDefault="007F3694" w:rsidP="00675A55">
      <w:pPr>
        <w:ind w:right="720"/>
        <w:jc w:val="both"/>
        <w:rPr>
          <w:i/>
          <w:iCs/>
        </w:rPr>
      </w:pPr>
    </w:p>
    <w:p w14:paraId="26F10988" w14:textId="5F70C1AA" w:rsidR="007F3694" w:rsidRDefault="007F3694" w:rsidP="00432F9F">
      <w:pPr>
        <w:jc w:val="both"/>
      </w:pPr>
      <w:r>
        <w:rPr>
          <w:i/>
          <w:iCs/>
        </w:rPr>
        <w:lastRenderedPageBreak/>
        <w:tab/>
      </w:r>
      <w:r w:rsidR="006E6C12">
        <w:t xml:space="preserve">After discussing prior wrongful death </w:t>
      </w:r>
      <w:r w:rsidR="006F7C44">
        <w:t>cases, the Court turns to trust law</w:t>
      </w:r>
      <w:r w:rsidR="00734422">
        <w:t xml:space="preserve">, first citing general rules governing trusts: </w:t>
      </w:r>
      <w:r w:rsidR="00B934DC">
        <w:t>(1)</w:t>
      </w:r>
      <w:r w:rsidR="00734422">
        <w:t xml:space="preserve"> A trust </w:t>
      </w:r>
      <w:r w:rsidR="00F66826">
        <w:t xml:space="preserve">in relation to real or personal property </w:t>
      </w:r>
      <w:r w:rsidR="00734422">
        <w:t>may be created for any purpose</w:t>
      </w:r>
      <w:r w:rsidR="00F66826">
        <w:t xml:space="preserve"> for which a contract may be made</w:t>
      </w:r>
      <w:r w:rsidR="00B934DC">
        <w:t xml:space="preserve">; (2) a trust requires a declaration from the owner that he or she holds the property as trustee for another (or for self); (3) </w:t>
      </w:r>
      <w:r w:rsidR="00E637DF">
        <w:t xml:space="preserve">the transfer to a trust may be </w:t>
      </w:r>
      <w:r w:rsidR="00E637DF">
        <w:rPr>
          <w:i/>
          <w:iCs/>
        </w:rPr>
        <w:t xml:space="preserve">inter vivos </w:t>
      </w:r>
      <w:r w:rsidR="00E637DF">
        <w:t xml:space="preserve">and/or by will; and (4) </w:t>
      </w:r>
      <w:r w:rsidR="00DD395D">
        <w:t xml:space="preserve">the principal of the trust can be set aside for an eventual conveyance to another. </w:t>
      </w:r>
      <w:r w:rsidR="00DD395D">
        <w:rPr>
          <w:i/>
          <w:iCs/>
        </w:rPr>
        <w:t xml:space="preserve">Id. </w:t>
      </w:r>
      <w:r w:rsidR="00DD395D">
        <w:t>at ¶ 29.</w:t>
      </w:r>
    </w:p>
    <w:p w14:paraId="7FDC07E6" w14:textId="77777777" w:rsidR="000B4D61" w:rsidRDefault="000B4D61" w:rsidP="00675A55">
      <w:pPr>
        <w:ind w:right="720"/>
        <w:jc w:val="both"/>
      </w:pPr>
    </w:p>
    <w:p w14:paraId="16910C1F" w14:textId="570D27DB" w:rsidR="000B4D61" w:rsidRDefault="000B4D61" w:rsidP="00432F9F">
      <w:pPr>
        <w:jc w:val="both"/>
        <w:rPr>
          <w:i/>
          <w:iCs/>
        </w:rPr>
      </w:pPr>
      <w:r>
        <w:tab/>
        <w:t>Thus, the Williamses employed a common estate planning device</w:t>
      </w:r>
      <w:r w:rsidR="00151E0F">
        <w:t xml:space="preserve"> of creating a revocable </w:t>
      </w:r>
      <w:r w:rsidR="00151E0F">
        <w:rPr>
          <w:i/>
          <w:iCs/>
        </w:rPr>
        <w:t xml:space="preserve">inter vivos </w:t>
      </w:r>
      <w:r w:rsidR="00151E0F">
        <w:t xml:space="preserve">trust and simultaneously </w:t>
      </w:r>
      <w:r w:rsidR="00C33397">
        <w:t xml:space="preserve">executing pour over tills to provide for their heirs at the time of their death. </w:t>
      </w:r>
      <w:r w:rsidR="00C33397">
        <w:rPr>
          <w:i/>
          <w:iCs/>
        </w:rPr>
        <w:t xml:space="preserve">Id. </w:t>
      </w:r>
      <w:r w:rsidR="00C33397">
        <w:t xml:space="preserve">at ¶ 29. </w:t>
      </w:r>
      <w:r w:rsidR="000478D4">
        <w:t>By doing that, they</w:t>
      </w:r>
      <w:r w:rsidR="00C33397">
        <w:t xml:space="preserve"> </w:t>
      </w:r>
      <w:r w:rsidR="00432F9F">
        <w:t xml:space="preserve">intended to transfer their expected wrongful death proceeds into their estate planning “regime.” </w:t>
      </w:r>
      <w:r w:rsidR="00432F9F">
        <w:rPr>
          <w:i/>
          <w:iCs/>
        </w:rPr>
        <w:t xml:space="preserve">Id. </w:t>
      </w:r>
      <w:r w:rsidR="004E24F8">
        <w:t xml:space="preserve">The Court notes the “weight of authority is that such transfers are valid.” </w:t>
      </w:r>
      <w:r w:rsidR="004E24F8">
        <w:rPr>
          <w:i/>
          <w:iCs/>
        </w:rPr>
        <w:t xml:space="preserve">Id. </w:t>
      </w:r>
      <w:r w:rsidR="009D0229">
        <w:t xml:space="preserve">at ¶30. </w:t>
      </w:r>
      <w:r w:rsidR="000B630C">
        <w:t>“One explanation” is that the wrongful death beneficiary’s in</w:t>
      </w:r>
      <w:r w:rsidR="003D2CE8">
        <w:t xml:space="preserve">terest is “not akin to assignment of the right of the action for personal tort.” </w:t>
      </w:r>
      <w:r w:rsidR="003D2CE8">
        <w:rPr>
          <w:i/>
          <w:iCs/>
        </w:rPr>
        <w:t xml:space="preserve">Id. </w:t>
      </w:r>
      <w:r w:rsidR="003D2CE8">
        <w:t>Another explanation is that the interests “amounts to a pecuniary right</w:t>
      </w:r>
      <w:r w:rsidR="009D0229">
        <w:t xml:space="preserve">, akin to property right, where when taken away, compensation is due.” </w:t>
      </w:r>
      <w:r w:rsidR="009D0229">
        <w:rPr>
          <w:i/>
          <w:iCs/>
        </w:rPr>
        <w:t xml:space="preserve">Id. </w:t>
      </w:r>
    </w:p>
    <w:p w14:paraId="3DFAA79B" w14:textId="77777777" w:rsidR="00172B08" w:rsidRDefault="00172B08" w:rsidP="00432F9F">
      <w:pPr>
        <w:jc w:val="both"/>
        <w:rPr>
          <w:i/>
          <w:iCs/>
        </w:rPr>
      </w:pPr>
    </w:p>
    <w:p w14:paraId="676EEB44" w14:textId="765EBBAC" w:rsidR="00B24F6F" w:rsidRDefault="00172B08" w:rsidP="00432F9F">
      <w:pPr>
        <w:jc w:val="both"/>
        <w:rPr>
          <w:i/>
          <w:iCs/>
        </w:rPr>
      </w:pPr>
      <w:r>
        <w:rPr>
          <w:i/>
          <w:iCs/>
        </w:rPr>
        <w:tab/>
      </w:r>
      <w:r>
        <w:t xml:space="preserve">Finally, the Court adopts a long passage from </w:t>
      </w:r>
      <w:r w:rsidR="00382838">
        <w:t xml:space="preserve">the Utah Supreme Court that “succinctly explains why proceeds for a wrongful death lawsuit are assignable.” </w:t>
      </w:r>
      <w:r w:rsidR="00382838">
        <w:rPr>
          <w:i/>
          <w:iCs/>
        </w:rPr>
        <w:t xml:space="preserve">Id. </w:t>
      </w:r>
      <w:r w:rsidR="00382838">
        <w:t>at ¶ 31. In essence, the Utah court notes</w:t>
      </w:r>
      <w:r w:rsidR="003C7DF6">
        <w:t xml:space="preserve"> such an assignment is not </w:t>
      </w:r>
      <w:r w:rsidR="002A7648">
        <w:t xml:space="preserve">an </w:t>
      </w:r>
      <w:r w:rsidR="003C7DF6">
        <w:t xml:space="preserve">assignment of the </w:t>
      </w:r>
      <w:r w:rsidR="003C7DF6" w:rsidRPr="002A7648">
        <w:rPr>
          <w:i/>
          <w:iCs/>
        </w:rPr>
        <w:t>action</w:t>
      </w:r>
      <w:r w:rsidR="002A7648">
        <w:t>,</w:t>
      </w:r>
      <w:r w:rsidR="00B35847">
        <w:t xml:space="preserve"> but only of the </w:t>
      </w:r>
      <w:r w:rsidR="00B35847" w:rsidRPr="002A7648">
        <w:rPr>
          <w:i/>
          <w:iCs/>
        </w:rPr>
        <w:t>proceeds</w:t>
      </w:r>
      <w:r w:rsidR="00B35847">
        <w:t xml:space="preserve">. That is because the cause of action “cannot be split up between the heirs but the amount recovered can be.” </w:t>
      </w:r>
      <w:r w:rsidR="007221D2">
        <w:t xml:space="preserve">The Utah court </w:t>
      </w:r>
      <w:r w:rsidR="002A7648">
        <w:t xml:space="preserve">then notes </w:t>
      </w:r>
      <w:r w:rsidR="00D13291">
        <w:t xml:space="preserve">that modern courts adopt a more liberal rule regarding assignment of contingent interests. Such interests are freely assignable </w:t>
      </w:r>
      <w:r w:rsidR="00E50695">
        <w:t>“so long as the assignments are fairly made for an adequate consideration</w:t>
      </w:r>
      <w:r w:rsidR="00D67392">
        <w:t xml:space="preserve"> without offending public policy.” </w:t>
      </w:r>
      <w:r w:rsidR="00D67392">
        <w:rPr>
          <w:i/>
          <w:iCs/>
        </w:rPr>
        <w:t xml:space="preserve">Id. </w:t>
      </w:r>
    </w:p>
    <w:p w14:paraId="63FE36FC" w14:textId="77777777" w:rsidR="00060FC5" w:rsidRDefault="00060FC5" w:rsidP="00432F9F">
      <w:pPr>
        <w:jc w:val="both"/>
        <w:rPr>
          <w:i/>
          <w:iCs/>
        </w:rPr>
      </w:pPr>
    </w:p>
    <w:p w14:paraId="7E482856" w14:textId="5FCB6AE3" w:rsidR="00060FC5" w:rsidRPr="003E4C96" w:rsidRDefault="00C32633" w:rsidP="00060FC5">
      <w:pPr>
        <w:ind w:firstLine="720"/>
        <w:jc w:val="both"/>
        <w:rPr>
          <w:i/>
          <w:iCs/>
        </w:rPr>
      </w:pPr>
      <w:r>
        <w:t xml:space="preserve">Here is where </w:t>
      </w:r>
      <w:r>
        <w:rPr>
          <w:i/>
          <w:iCs/>
        </w:rPr>
        <w:t xml:space="preserve">Williams </w:t>
      </w:r>
      <w:r>
        <w:t xml:space="preserve">gets interesting for those of us who do not do estate planning work. </w:t>
      </w:r>
      <w:r w:rsidR="00060FC5">
        <w:t>A</w:t>
      </w:r>
      <w:r>
        <w:t xml:space="preserve">ccording to the Utah </w:t>
      </w:r>
      <w:r w:rsidR="00765EBC">
        <w:t xml:space="preserve">holding adopted by </w:t>
      </w:r>
      <w:r w:rsidR="00060FC5">
        <w:t xml:space="preserve">our Supreme Court </w:t>
      </w:r>
      <w:r w:rsidR="00765EBC">
        <w:t xml:space="preserve">(or at least quoted by it in </w:t>
      </w:r>
      <w:r w:rsidR="00765EBC" w:rsidRPr="00DA2AB7">
        <w:rPr>
          <w:i/>
          <w:iCs/>
        </w:rPr>
        <w:t>Williams</w:t>
      </w:r>
      <w:r w:rsidR="00765EBC">
        <w:t xml:space="preserve">) </w:t>
      </w:r>
      <w:r w:rsidR="00DA2AB7">
        <w:t>the modern rule</w:t>
      </w:r>
      <w:r w:rsidR="00060FC5">
        <w:t xml:space="preserve"> </w:t>
      </w:r>
      <w:r w:rsidR="008535EF">
        <w:rPr>
          <w:u w:val="single"/>
        </w:rPr>
        <w:t>permits one who has sustained personal injuries to assign such proceeds as may possibly be recovered</w:t>
      </w:r>
      <w:r w:rsidR="005D7B3B">
        <w:rPr>
          <w:u w:val="single"/>
        </w:rPr>
        <w:t xml:space="preserve"> by him or her in an action against the tortfeasor. This is so even though the cause of action is not assignable.</w:t>
      </w:r>
      <w:r w:rsidR="005D7B3B">
        <w:t xml:space="preserve"> </w:t>
      </w:r>
      <w:r w:rsidR="005D7B3B">
        <w:rPr>
          <w:i/>
          <w:iCs/>
        </w:rPr>
        <w:t>Id.</w:t>
      </w:r>
      <w:r w:rsidR="00060FC5">
        <w:t xml:space="preserve"> </w:t>
      </w:r>
      <w:r w:rsidR="00E554BD" w:rsidRPr="00B825E2">
        <w:rPr>
          <w:i/>
          <w:iCs/>
        </w:rPr>
        <w:t>“[A] court of equity will enforce the assi</w:t>
      </w:r>
      <w:r w:rsidR="003E4C96" w:rsidRPr="00B825E2">
        <w:rPr>
          <w:i/>
          <w:iCs/>
        </w:rPr>
        <w:t xml:space="preserve">gnment even though the cause of action is not assignable.” </w:t>
      </w:r>
      <w:r w:rsidR="003E4C96">
        <w:rPr>
          <w:i/>
          <w:iCs/>
        </w:rPr>
        <w:t>Id.</w:t>
      </w:r>
    </w:p>
    <w:p w14:paraId="4F7489EE" w14:textId="77777777" w:rsidR="00B24F6F" w:rsidRDefault="00B24F6F" w:rsidP="00432F9F">
      <w:pPr>
        <w:jc w:val="both"/>
        <w:rPr>
          <w:i/>
          <w:iCs/>
        </w:rPr>
      </w:pPr>
    </w:p>
    <w:p w14:paraId="279E9F14" w14:textId="6663A1A8" w:rsidR="004346EB" w:rsidRDefault="003E4C96" w:rsidP="008F03CF">
      <w:pPr>
        <w:ind w:firstLine="720"/>
        <w:jc w:val="both"/>
        <w:rPr>
          <w:i/>
          <w:iCs/>
        </w:rPr>
      </w:pPr>
      <w:r>
        <w:t xml:space="preserve">By </w:t>
      </w:r>
      <w:r w:rsidR="00B825E2">
        <w:t>the</w:t>
      </w:r>
      <w:r>
        <w:t xml:space="preserve"> above</w:t>
      </w:r>
      <w:r w:rsidR="00DB52F1">
        <w:t xml:space="preserve">, </w:t>
      </w:r>
      <w:r>
        <w:t xml:space="preserve">our Supreme </w:t>
      </w:r>
      <w:r w:rsidR="00DB52F1">
        <w:t xml:space="preserve">Court may have answered </w:t>
      </w:r>
      <w:r>
        <w:t>a</w:t>
      </w:r>
      <w:r w:rsidR="00DB52F1">
        <w:t xml:space="preserve"> question that it left unanswered in </w:t>
      </w:r>
      <w:r w:rsidR="00060FC5" w:rsidRPr="006B3DD2">
        <w:rPr>
          <w:i/>
          <w:iCs/>
        </w:rPr>
        <w:t>Johnson v. CSAA Gen. Ins. Co</w:t>
      </w:r>
      <w:r w:rsidR="00060FC5" w:rsidRPr="00060FC5">
        <w:t>., 2020 OK 110, 478 P.3d 422</w:t>
      </w:r>
      <w:r w:rsidR="00060FC5">
        <w:t xml:space="preserve">. </w:t>
      </w:r>
      <w:r w:rsidR="003F0C65">
        <w:rPr>
          <w:i/>
          <w:iCs/>
        </w:rPr>
        <w:t xml:space="preserve">Johnson </w:t>
      </w:r>
      <w:r w:rsidR="003F0C65">
        <w:t xml:space="preserve">permits an insured to assign </w:t>
      </w:r>
      <w:r w:rsidR="00983ADC" w:rsidRPr="0077706F">
        <w:rPr>
          <w:u w:val="single"/>
        </w:rPr>
        <w:t xml:space="preserve">a claim under </w:t>
      </w:r>
      <w:r w:rsidR="0077706F">
        <w:rPr>
          <w:u w:val="single"/>
        </w:rPr>
        <w:t>a</w:t>
      </w:r>
      <w:r w:rsidR="00983ADC" w:rsidRPr="0077706F">
        <w:rPr>
          <w:u w:val="single"/>
        </w:rPr>
        <w:t xml:space="preserve"> policy</w:t>
      </w:r>
      <w:r w:rsidR="00983ADC">
        <w:t xml:space="preserve"> despite policy language that says the </w:t>
      </w:r>
      <w:r w:rsidR="00983ADC">
        <w:rPr>
          <w:u w:val="single"/>
        </w:rPr>
        <w:t>policy</w:t>
      </w:r>
      <w:r w:rsidR="00983ADC">
        <w:t xml:space="preserve"> may not be assigned. </w:t>
      </w:r>
      <w:r w:rsidR="0077706F">
        <w:rPr>
          <w:i/>
          <w:iCs/>
        </w:rPr>
        <w:t xml:space="preserve">Johnson </w:t>
      </w:r>
      <w:r w:rsidR="0077706F">
        <w:t xml:space="preserve">holds that </w:t>
      </w:r>
      <w:r w:rsidR="00D66DD8">
        <w:t>a “matured”</w:t>
      </w:r>
      <w:r w:rsidR="0077706F">
        <w:t xml:space="preserve"> claim </w:t>
      </w:r>
      <w:r w:rsidR="00255876">
        <w:t>is a</w:t>
      </w:r>
      <w:r w:rsidR="00CB74FF">
        <w:t>n assignable</w:t>
      </w:r>
      <w:r w:rsidR="00255876">
        <w:t xml:space="preserve"> “chose in action</w:t>
      </w:r>
      <w:r w:rsidR="00060900">
        <w:t xml:space="preserve">” because it </w:t>
      </w:r>
      <w:r w:rsidR="0017085D">
        <w:t>does not</w:t>
      </w:r>
      <w:r w:rsidR="00060900">
        <w:t xml:space="preserve"> increase the </w:t>
      </w:r>
      <w:r w:rsidR="0017085D">
        <w:t xml:space="preserve">risk assumed by the insurer. </w:t>
      </w:r>
      <w:r w:rsidR="00015880">
        <w:t>That holding was not too surprising in itself. But t</w:t>
      </w:r>
      <w:r w:rsidR="0017085D">
        <w:t xml:space="preserve">he insurer in </w:t>
      </w:r>
      <w:r w:rsidR="0017085D">
        <w:rPr>
          <w:i/>
          <w:iCs/>
        </w:rPr>
        <w:t xml:space="preserve">Johnson </w:t>
      </w:r>
      <w:r w:rsidR="0017085D">
        <w:t xml:space="preserve">asked the Court to </w:t>
      </w:r>
      <w:r w:rsidR="00F163E4">
        <w:t xml:space="preserve">also </w:t>
      </w:r>
      <w:r w:rsidR="0017085D">
        <w:t>decide whether the assignment included the insured</w:t>
      </w:r>
      <w:r w:rsidR="00F163E4">
        <w:t>’s</w:t>
      </w:r>
      <w:r w:rsidR="0017085D">
        <w:t xml:space="preserve"> </w:t>
      </w:r>
      <w:r w:rsidR="0017085D" w:rsidRPr="00F163E4">
        <w:rPr>
          <w:i/>
          <w:iCs/>
        </w:rPr>
        <w:t xml:space="preserve">bad faith </w:t>
      </w:r>
      <w:r w:rsidR="001F034C" w:rsidRPr="00F163E4">
        <w:rPr>
          <w:i/>
          <w:iCs/>
        </w:rPr>
        <w:t>claim</w:t>
      </w:r>
      <w:r w:rsidR="000A3B22" w:rsidRPr="00F163E4">
        <w:rPr>
          <w:i/>
          <w:iCs/>
        </w:rPr>
        <w:t>—a tort claim</w:t>
      </w:r>
      <w:r w:rsidR="00F163E4">
        <w:t xml:space="preserve"> (in other words a claim not </w:t>
      </w:r>
      <w:r w:rsidR="008522C1">
        <w:t>arising out of contract)</w:t>
      </w:r>
      <w:r w:rsidR="000A3B22">
        <w:t xml:space="preserve">—as well (on this basis, the insurer argued the appeal should have been dismissed because </w:t>
      </w:r>
      <w:r w:rsidR="00EC2C57">
        <w:t xml:space="preserve">an assignment of only the contract claim, argued the insurer, “impermissible split the </w:t>
      </w:r>
      <w:r w:rsidR="00543B89">
        <w:t>[claims]”</w:t>
      </w:r>
      <w:r w:rsidR="00D572DE">
        <w:t>).</w:t>
      </w:r>
      <w:r w:rsidR="00543B89">
        <w:t xml:space="preserve"> The Court did not answer that question because it was not decided first by the trial court.</w:t>
      </w:r>
      <w:r w:rsidR="009A24D9">
        <w:t xml:space="preserve"> </w:t>
      </w:r>
      <w:r w:rsidR="001F70AD">
        <w:t>The reasoning of the Utah court adopted by our Supreme Court</w:t>
      </w:r>
      <w:r w:rsidR="00D572DE">
        <w:t>, however,</w:t>
      </w:r>
      <w:r w:rsidR="001F70AD">
        <w:t xml:space="preserve"> seem</w:t>
      </w:r>
      <w:r w:rsidR="00D572DE">
        <w:t>s</w:t>
      </w:r>
      <w:r w:rsidR="001F70AD">
        <w:t xml:space="preserve"> broad enough to encompass a bad faith claim—whether or not that claim is characterized as a “pure tort” or </w:t>
      </w:r>
      <w:r w:rsidR="003F1319">
        <w:t>a “tort arising out of contract”</w:t>
      </w:r>
      <w:r w:rsidR="00D572DE">
        <w:t xml:space="preserve"> (another issue raised but not answered by </w:t>
      </w:r>
      <w:r w:rsidR="00D572DE">
        <w:rPr>
          <w:i/>
          <w:iCs/>
        </w:rPr>
        <w:t>Johnson</w:t>
      </w:r>
      <w:r w:rsidR="00D572DE">
        <w:t>).</w:t>
      </w:r>
      <w:r w:rsidR="003F1319">
        <w:t xml:space="preserve"> </w:t>
      </w:r>
      <w:r w:rsidR="00BB69AB">
        <w:t xml:space="preserve">Incidentally, Justice Kane dissented in </w:t>
      </w:r>
      <w:r w:rsidR="00BB69AB">
        <w:rPr>
          <w:i/>
          <w:iCs/>
        </w:rPr>
        <w:t xml:space="preserve">Johnson, </w:t>
      </w:r>
      <w:r w:rsidR="00BB69AB">
        <w:t xml:space="preserve">stating that he would have addressed the tort claim </w:t>
      </w:r>
      <w:r w:rsidR="00A467B3">
        <w:t xml:space="preserve">as well </w:t>
      </w:r>
      <w:r w:rsidR="00BB69AB" w:rsidRPr="00A467B3">
        <w:rPr>
          <w:u w:val="single"/>
        </w:rPr>
        <w:t>and held that it was not assignable</w:t>
      </w:r>
      <w:r w:rsidR="00BB69AB">
        <w:t xml:space="preserve">. </w:t>
      </w:r>
      <w:r w:rsidR="00A467B3">
        <w:t>Curiously, though,</w:t>
      </w:r>
      <w:r w:rsidR="00BB69AB">
        <w:t xml:space="preserve"> justices</w:t>
      </w:r>
      <w:r w:rsidR="00AE3438">
        <w:t xml:space="preserve"> (with all the other justices)</w:t>
      </w:r>
      <w:r w:rsidR="007A54FD">
        <w:t xml:space="preserve"> concurred in </w:t>
      </w:r>
      <w:r w:rsidR="007A54FD">
        <w:rPr>
          <w:i/>
          <w:iCs/>
        </w:rPr>
        <w:t>Williams.</w:t>
      </w:r>
    </w:p>
    <w:p w14:paraId="315E6BE2" w14:textId="77777777" w:rsidR="00A32CB5" w:rsidRDefault="00A32CB5" w:rsidP="008F03CF">
      <w:pPr>
        <w:ind w:firstLine="720"/>
        <w:jc w:val="both"/>
        <w:rPr>
          <w:i/>
          <w:iCs/>
        </w:rPr>
      </w:pPr>
    </w:p>
    <w:p w14:paraId="32D29BD1" w14:textId="230AD542" w:rsidR="008522C1" w:rsidRPr="00A03DFB" w:rsidRDefault="00667B48" w:rsidP="008F03CF">
      <w:pPr>
        <w:ind w:firstLine="720"/>
        <w:jc w:val="both"/>
        <w:rPr>
          <w:i/>
          <w:iCs/>
        </w:rPr>
      </w:pPr>
      <w:r>
        <w:t xml:space="preserve">In the end, the Court holds that nothing more exciting occurred in </w:t>
      </w:r>
      <w:r>
        <w:rPr>
          <w:i/>
          <w:iCs/>
        </w:rPr>
        <w:t xml:space="preserve">Williams </w:t>
      </w:r>
      <w:r>
        <w:t>than a</w:t>
      </w:r>
      <w:r w:rsidR="00082017">
        <w:t xml:space="preserve"> transfer into a revocable </w:t>
      </w:r>
      <w:r w:rsidR="00082017">
        <w:rPr>
          <w:i/>
          <w:iCs/>
        </w:rPr>
        <w:t xml:space="preserve">inter vivos </w:t>
      </w:r>
      <w:r w:rsidR="00082017">
        <w:t xml:space="preserve">trust for estate planning purposes. </w:t>
      </w:r>
      <w:r w:rsidR="00082017">
        <w:rPr>
          <w:i/>
          <w:iCs/>
        </w:rPr>
        <w:t xml:space="preserve">Id. </w:t>
      </w:r>
      <w:r w:rsidR="00082017">
        <w:t xml:space="preserve">at ¶32. </w:t>
      </w:r>
      <w:r w:rsidR="004E0012">
        <w:t>The transfer was Katha’s personal interest in the proceeds of the wrongful death action</w:t>
      </w:r>
      <w:r w:rsidR="00C17986">
        <w:t xml:space="preserve"> </w:t>
      </w:r>
      <w:r w:rsidR="00C17986">
        <w:rPr>
          <w:i/>
          <w:iCs/>
        </w:rPr>
        <w:t xml:space="preserve">to Katha as settlor, trustee, and beneficiary of the trust. Id. </w:t>
      </w:r>
      <w:r w:rsidR="001C6611">
        <w:t>No consideration is required for such a transfer. And prohibiting such a transfer is “counterintuitive to the nature of a trust</w:t>
      </w:r>
      <w:r w:rsidR="00DA3834">
        <w:t xml:space="preserve">, general estate planning altogether [sic]” and </w:t>
      </w:r>
      <w:r w:rsidR="006B73A6">
        <w:t xml:space="preserve">“contradictory” to prior wrongful death holdings. </w:t>
      </w:r>
      <w:r w:rsidR="006B73A6">
        <w:rPr>
          <w:i/>
          <w:iCs/>
        </w:rPr>
        <w:t xml:space="preserve">Id. </w:t>
      </w:r>
      <w:r w:rsidR="001A20A4">
        <w:t xml:space="preserve">Additionally, notes the Court in a “belt and suspenders” approach, even if the </w:t>
      </w:r>
      <w:r w:rsidR="00AA694D">
        <w:t xml:space="preserve">funds were not placed in the trust when received Katha’s pour over will </w:t>
      </w:r>
      <w:r w:rsidR="00BD23F4">
        <w:t xml:space="preserve">would have placed them there as well. </w:t>
      </w:r>
      <w:r w:rsidR="00BD23F4">
        <w:rPr>
          <w:i/>
          <w:iCs/>
        </w:rPr>
        <w:t xml:space="preserve">Id. </w:t>
      </w:r>
      <w:r w:rsidR="00BD23F4">
        <w:t xml:space="preserve">at ¶ 33. Since that </w:t>
      </w:r>
      <w:r w:rsidR="005B3B26">
        <w:t>was Katha’s “unambiguous intent as evidenced on the fact of her will</w:t>
      </w:r>
      <w:r w:rsidR="00A03DFB">
        <w:t xml:space="preserve">, the trust, and the assignment,” equity would recognize the transfer. </w:t>
      </w:r>
      <w:r w:rsidR="00A03DFB">
        <w:rPr>
          <w:i/>
          <w:iCs/>
        </w:rPr>
        <w:t xml:space="preserve">Id. </w:t>
      </w:r>
    </w:p>
    <w:sectPr w:rsidR="008522C1" w:rsidRPr="00A0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NDMwM7OwNDE1MjRX0lEKTi0uzszPAykwqgUArww7cywAAAA="/>
  </w:docVars>
  <w:rsids>
    <w:rsidRoot w:val="007F016F"/>
    <w:rsid w:val="00015880"/>
    <w:rsid w:val="000235F8"/>
    <w:rsid w:val="000236F4"/>
    <w:rsid w:val="00032D1B"/>
    <w:rsid w:val="00045EF1"/>
    <w:rsid w:val="000478D4"/>
    <w:rsid w:val="00055843"/>
    <w:rsid w:val="00060900"/>
    <w:rsid w:val="00060FC5"/>
    <w:rsid w:val="00061BE4"/>
    <w:rsid w:val="00067282"/>
    <w:rsid w:val="00071CFA"/>
    <w:rsid w:val="00082017"/>
    <w:rsid w:val="00096A49"/>
    <w:rsid w:val="000A3B22"/>
    <w:rsid w:val="000A6970"/>
    <w:rsid w:val="000B4D61"/>
    <w:rsid w:val="000B630C"/>
    <w:rsid w:val="000C3DCE"/>
    <w:rsid w:val="0010391A"/>
    <w:rsid w:val="00110F4B"/>
    <w:rsid w:val="001151DE"/>
    <w:rsid w:val="001200EB"/>
    <w:rsid w:val="00151E0F"/>
    <w:rsid w:val="001626B7"/>
    <w:rsid w:val="001705D9"/>
    <w:rsid w:val="0017085D"/>
    <w:rsid w:val="00172B08"/>
    <w:rsid w:val="00175AFB"/>
    <w:rsid w:val="001A20A4"/>
    <w:rsid w:val="001B4E59"/>
    <w:rsid w:val="001B57BA"/>
    <w:rsid w:val="001C32CF"/>
    <w:rsid w:val="001C6611"/>
    <w:rsid w:val="001D1B30"/>
    <w:rsid w:val="001E0390"/>
    <w:rsid w:val="001E0A90"/>
    <w:rsid w:val="001E2853"/>
    <w:rsid w:val="001E2DE7"/>
    <w:rsid w:val="001F034C"/>
    <w:rsid w:val="001F70AD"/>
    <w:rsid w:val="00217941"/>
    <w:rsid w:val="0022069F"/>
    <w:rsid w:val="00254422"/>
    <w:rsid w:val="00255876"/>
    <w:rsid w:val="002744EA"/>
    <w:rsid w:val="00274E85"/>
    <w:rsid w:val="002817DD"/>
    <w:rsid w:val="0028324F"/>
    <w:rsid w:val="002A1668"/>
    <w:rsid w:val="002A7648"/>
    <w:rsid w:val="002D3B7C"/>
    <w:rsid w:val="002E0DE0"/>
    <w:rsid w:val="002E1C12"/>
    <w:rsid w:val="002E2F0C"/>
    <w:rsid w:val="00342D11"/>
    <w:rsid w:val="00356961"/>
    <w:rsid w:val="00362DB6"/>
    <w:rsid w:val="00366984"/>
    <w:rsid w:val="00375CFA"/>
    <w:rsid w:val="00382838"/>
    <w:rsid w:val="003856B9"/>
    <w:rsid w:val="00390D78"/>
    <w:rsid w:val="003A4001"/>
    <w:rsid w:val="003C1093"/>
    <w:rsid w:val="003C7DF6"/>
    <w:rsid w:val="003D2CE8"/>
    <w:rsid w:val="003E4C96"/>
    <w:rsid w:val="003F0C65"/>
    <w:rsid w:val="003F1319"/>
    <w:rsid w:val="00420505"/>
    <w:rsid w:val="00432F9F"/>
    <w:rsid w:val="004346EB"/>
    <w:rsid w:val="00461D9E"/>
    <w:rsid w:val="00463A92"/>
    <w:rsid w:val="00473F75"/>
    <w:rsid w:val="00484EED"/>
    <w:rsid w:val="004B0F7A"/>
    <w:rsid w:val="004E0012"/>
    <w:rsid w:val="004E24F8"/>
    <w:rsid w:val="004F4F87"/>
    <w:rsid w:val="00523010"/>
    <w:rsid w:val="00543B89"/>
    <w:rsid w:val="00553107"/>
    <w:rsid w:val="005551E0"/>
    <w:rsid w:val="00581645"/>
    <w:rsid w:val="0059136D"/>
    <w:rsid w:val="00596C9A"/>
    <w:rsid w:val="00597DC7"/>
    <w:rsid w:val="005B3B26"/>
    <w:rsid w:val="005D7B3B"/>
    <w:rsid w:val="005E5279"/>
    <w:rsid w:val="005F3794"/>
    <w:rsid w:val="006019B7"/>
    <w:rsid w:val="00633B90"/>
    <w:rsid w:val="0064431F"/>
    <w:rsid w:val="006567DA"/>
    <w:rsid w:val="00667B48"/>
    <w:rsid w:val="00675A55"/>
    <w:rsid w:val="006B3DD2"/>
    <w:rsid w:val="006B73A6"/>
    <w:rsid w:val="006C2F2C"/>
    <w:rsid w:val="006D2ADC"/>
    <w:rsid w:val="006E6C12"/>
    <w:rsid w:val="006E790D"/>
    <w:rsid w:val="006F7C44"/>
    <w:rsid w:val="007107A7"/>
    <w:rsid w:val="00720CA7"/>
    <w:rsid w:val="007221D2"/>
    <w:rsid w:val="00726453"/>
    <w:rsid w:val="0073310A"/>
    <w:rsid w:val="00734422"/>
    <w:rsid w:val="007527C2"/>
    <w:rsid w:val="00762434"/>
    <w:rsid w:val="00763D61"/>
    <w:rsid w:val="00764663"/>
    <w:rsid w:val="00765D69"/>
    <w:rsid w:val="00765EBC"/>
    <w:rsid w:val="00770FE1"/>
    <w:rsid w:val="0077706F"/>
    <w:rsid w:val="00782338"/>
    <w:rsid w:val="007840D0"/>
    <w:rsid w:val="0079230E"/>
    <w:rsid w:val="007A26EB"/>
    <w:rsid w:val="007A54FD"/>
    <w:rsid w:val="007C4843"/>
    <w:rsid w:val="007D120B"/>
    <w:rsid w:val="007D1F03"/>
    <w:rsid w:val="007F016F"/>
    <w:rsid w:val="007F3694"/>
    <w:rsid w:val="007F50D9"/>
    <w:rsid w:val="00804272"/>
    <w:rsid w:val="00806C37"/>
    <w:rsid w:val="00820090"/>
    <w:rsid w:val="0082439B"/>
    <w:rsid w:val="00833D6E"/>
    <w:rsid w:val="00837005"/>
    <w:rsid w:val="008522C1"/>
    <w:rsid w:val="008535EF"/>
    <w:rsid w:val="00856B73"/>
    <w:rsid w:val="008659D8"/>
    <w:rsid w:val="00894C40"/>
    <w:rsid w:val="00895232"/>
    <w:rsid w:val="008C3A3F"/>
    <w:rsid w:val="008E5D03"/>
    <w:rsid w:val="008F03CF"/>
    <w:rsid w:val="009004CC"/>
    <w:rsid w:val="00916410"/>
    <w:rsid w:val="00931781"/>
    <w:rsid w:val="009361CD"/>
    <w:rsid w:val="00946F9A"/>
    <w:rsid w:val="009619A0"/>
    <w:rsid w:val="00963DDC"/>
    <w:rsid w:val="00967829"/>
    <w:rsid w:val="009752A4"/>
    <w:rsid w:val="0097593E"/>
    <w:rsid w:val="00983ADC"/>
    <w:rsid w:val="009861F8"/>
    <w:rsid w:val="00997B24"/>
    <w:rsid w:val="009A1491"/>
    <w:rsid w:val="009A24D9"/>
    <w:rsid w:val="009B4C09"/>
    <w:rsid w:val="009D0229"/>
    <w:rsid w:val="009D50F3"/>
    <w:rsid w:val="00A03DFB"/>
    <w:rsid w:val="00A110BF"/>
    <w:rsid w:val="00A11FE6"/>
    <w:rsid w:val="00A247FE"/>
    <w:rsid w:val="00A25B28"/>
    <w:rsid w:val="00A32CB5"/>
    <w:rsid w:val="00A467B3"/>
    <w:rsid w:val="00A51091"/>
    <w:rsid w:val="00A94F55"/>
    <w:rsid w:val="00AA694D"/>
    <w:rsid w:val="00AB49FD"/>
    <w:rsid w:val="00AC4FDE"/>
    <w:rsid w:val="00AE0C7A"/>
    <w:rsid w:val="00AE3438"/>
    <w:rsid w:val="00B035F8"/>
    <w:rsid w:val="00B05D8C"/>
    <w:rsid w:val="00B12A74"/>
    <w:rsid w:val="00B15566"/>
    <w:rsid w:val="00B23A01"/>
    <w:rsid w:val="00B24F6F"/>
    <w:rsid w:val="00B35847"/>
    <w:rsid w:val="00B40825"/>
    <w:rsid w:val="00B51DD8"/>
    <w:rsid w:val="00B6465A"/>
    <w:rsid w:val="00B70F8C"/>
    <w:rsid w:val="00B716D9"/>
    <w:rsid w:val="00B825E2"/>
    <w:rsid w:val="00B825E4"/>
    <w:rsid w:val="00B85301"/>
    <w:rsid w:val="00B91117"/>
    <w:rsid w:val="00B934DC"/>
    <w:rsid w:val="00BB34B3"/>
    <w:rsid w:val="00BB388A"/>
    <w:rsid w:val="00BB69AB"/>
    <w:rsid w:val="00BB7DA3"/>
    <w:rsid w:val="00BC088D"/>
    <w:rsid w:val="00BD23F4"/>
    <w:rsid w:val="00BD5D06"/>
    <w:rsid w:val="00BD75C1"/>
    <w:rsid w:val="00BF05E5"/>
    <w:rsid w:val="00C17986"/>
    <w:rsid w:val="00C17C37"/>
    <w:rsid w:val="00C32633"/>
    <w:rsid w:val="00C33397"/>
    <w:rsid w:val="00C42676"/>
    <w:rsid w:val="00C44371"/>
    <w:rsid w:val="00C5429A"/>
    <w:rsid w:val="00C568BD"/>
    <w:rsid w:val="00C63B0D"/>
    <w:rsid w:val="00C67EB0"/>
    <w:rsid w:val="00CB56E0"/>
    <w:rsid w:val="00CB74FF"/>
    <w:rsid w:val="00CE664E"/>
    <w:rsid w:val="00D117B4"/>
    <w:rsid w:val="00D13291"/>
    <w:rsid w:val="00D13FDB"/>
    <w:rsid w:val="00D16503"/>
    <w:rsid w:val="00D501BF"/>
    <w:rsid w:val="00D572DE"/>
    <w:rsid w:val="00D66DD8"/>
    <w:rsid w:val="00D67392"/>
    <w:rsid w:val="00D70A02"/>
    <w:rsid w:val="00D76B3F"/>
    <w:rsid w:val="00D858CF"/>
    <w:rsid w:val="00DA1B09"/>
    <w:rsid w:val="00DA2AB7"/>
    <w:rsid w:val="00DA3834"/>
    <w:rsid w:val="00DB52F1"/>
    <w:rsid w:val="00DC107C"/>
    <w:rsid w:val="00DD395D"/>
    <w:rsid w:val="00DD4961"/>
    <w:rsid w:val="00DD4F84"/>
    <w:rsid w:val="00DF76AF"/>
    <w:rsid w:val="00E0555B"/>
    <w:rsid w:val="00E1189F"/>
    <w:rsid w:val="00E20896"/>
    <w:rsid w:val="00E2762F"/>
    <w:rsid w:val="00E47A05"/>
    <w:rsid w:val="00E50695"/>
    <w:rsid w:val="00E512D7"/>
    <w:rsid w:val="00E554BD"/>
    <w:rsid w:val="00E579D6"/>
    <w:rsid w:val="00E637DF"/>
    <w:rsid w:val="00E77B03"/>
    <w:rsid w:val="00E802CE"/>
    <w:rsid w:val="00E81984"/>
    <w:rsid w:val="00E97286"/>
    <w:rsid w:val="00E972AA"/>
    <w:rsid w:val="00EA56D7"/>
    <w:rsid w:val="00EA76CE"/>
    <w:rsid w:val="00EC2C57"/>
    <w:rsid w:val="00ED7A0C"/>
    <w:rsid w:val="00F05FA6"/>
    <w:rsid w:val="00F139B0"/>
    <w:rsid w:val="00F163E4"/>
    <w:rsid w:val="00F257FE"/>
    <w:rsid w:val="00F32506"/>
    <w:rsid w:val="00F430F2"/>
    <w:rsid w:val="00F66826"/>
    <w:rsid w:val="00F96740"/>
    <w:rsid w:val="00FA7320"/>
    <w:rsid w:val="00FC00D4"/>
    <w:rsid w:val="00FC6186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418D"/>
  <w15:chartTrackingRefBased/>
  <w15:docId w15:val="{E6EACCD3-6E35-4F66-8833-C1825174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A51091"/>
  </w:style>
  <w:style w:type="character" w:customStyle="1" w:styleId="FootnoteTextChar">
    <w:name w:val="Footnote Text Char"/>
    <w:basedOn w:val="DefaultParagraphFont"/>
    <w:link w:val="FootnoteText"/>
    <w:rsid w:val="00A51091"/>
    <w:rPr>
      <w:sz w:val="24"/>
    </w:rPr>
  </w:style>
  <w:style w:type="character" w:styleId="FootnoteReference">
    <w:name w:val="footnote reference"/>
    <w:uiPriority w:val="99"/>
    <w:rsid w:val="00C44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Kouri</dc:creator>
  <cp:keywords/>
  <dc:description/>
  <cp:lastModifiedBy>Paul Kouri</cp:lastModifiedBy>
  <cp:revision>263</cp:revision>
  <dcterms:created xsi:type="dcterms:W3CDTF">2023-11-02T16:27:00Z</dcterms:created>
  <dcterms:modified xsi:type="dcterms:W3CDTF">2023-11-02T20:16:00Z</dcterms:modified>
</cp:coreProperties>
</file>